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70AB" w14:textId="77777777" w:rsidR="00342AF9" w:rsidRDefault="00342AF9" w:rsidP="00D10794">
      <w:pPr>
        <w:autoSpaceDE/>
        <w:autoSpaceDN/>
        <w:adjustRightInd/>
        <w:spacing w:after="0"/>
      </w:pPr>
    </w:p>
    <w:p w14:paraId="33F22B16" w14:textId="77777777" w:rsidR="00D10794" w:rsidRDefault="00162F2E" w:rsidP="00D10794">
      <w:pPr>
        <w:autoSpaceDE/>
        <w:autoSpaceDN/>
        <w:adjustRightInd/>
        <w:spacing w:after="0"/>
      </w:pPr>
      <w:r>
        <w:t xml:space="preserve"> </w:t>
      </w:r>
    </w:p>
    <w:p w14:paraId="6C6BB219" w14:textId="77777777" w:rsidR="00D10794" w:rsidRPr="00506BBC" w:rsidRDefault="00162F2E" w:rsidP="00D10794">
      <w:pPr>
        <w:autoSpaceDE/>
        <w:autoSpaceDN/>
        <w:adjustRightInd/>
        <w:spacing w:after="0"/>
        <w:rPr>
          <w:highlight w:val="yellow"/>
        </w:rPr>
        <w:sectPr w:rsidR="00D10794" w:rsidRPr="00506BBC" w:rsidSect="00D10794">
          <w:headerReference w:type="default" r:id="rId11"/>
          <w:footerReference w:type="default" r:id="rId12"/>
          <w:headerReference w:type="first" r:id="rId13"/>
          <w:pgSz w:w="11900" w:h="16840" w:code="9"/>
          <w:pgMar w:top="1361" w:right="1361" w:bottom="1361" w:left="1361" w:header="709" w:footer="709" w:gutter="0"/>
          <w:cols w:space="292"/>
          <w:titlePg/>
          <w:docGrid w:linePitch="326"/>
        </w:sectPr>
      </w:pPr>
      <w:r w:rsidRPr="00506BBC">
        <w:rPr>
          <w:noProof/>
          <w:highlight w:val="yellow"/>
          <w:lang w:eastAsia="en-GB"/>
        </w:rPr>
        <mc:AlternateContent>
          <mc:Choice Requires="wps">
            <w:drawing>
              <wp:anchor distT="0" distB="0" distL="114300" distR="114300" simplePos="0" relativeHeight="251658240" behindDoc="0" locked="0" layoutInCell="1" allowOverlap="1" wp14:anchorId="245FF2F4" wp14:editId="624F5B42">
                <wp:simplePos x="0" y="0"/>
                <wp:positionH relativeFrom="margin">
                  <wp:posOffset>-180340</wp:posOffset>
                </wp:positionH>
                <wp:positionV relativeFrom="paragraph">
                  <wp:posOffset>5399877</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C085" w14:textId="77777777" w:rsidR="00EF3BE0" w:rsidRDefault="00EF3BE0" w:rsidP="00D10794">
                            <w:pPr>
                              <w:spacing w:after="0"/>
                              <w:ind w:right="-46"/>
                              <w:jc w:val="left"/>
                              <w:rPr>
                                <w:rFonts w:cs="Arial"/>
                                <w:b/>
                                <w:bCs/>
                                <w:sz w:val="52"/>
                                <w:szCs w:val="52"/>
                              </w:rPr>
                            </w:pPr>
                          </w:p>
                          <w:p w14:paraId="08BC5BCD" w14:textId="77777777" w:rsidR="00EF3BE0" w:rsidRPr="0037393E" w:rsidRDefault="00EF3BE0" w:rsidP="00D10794">
                            <w:pPr>
                              <w:spacing w:after="0"/>
                              <w:ind w:right="-46"/>
                              <w:jc w:val="left"/>
                              <w:rPr>
                                <w:rFonts w:cs="Arial"/>
                                <w:b/>
                                <w:bCs/>
                                <w:sz w:val="52"/>
                                <w:szCs w:val="52"/>
                              </w:rPr>
                            </w:pPr>
                          </w:p>
                          <w:p w14:paraId="3D1A84C4" w14:textId="77777777" w:rsidR="00EF3BE0" w:rsidRPr="003B0E35" w:rsidRDefault="00162F2E" w:rsidP="0029129F">
                            <w:pPr>
                              <w:shd w:val="clear" w:color="auto" w:fill="FFFFFF" w:themeFill="background1"/>
                              <w:spacing w:after="0"/>
                              <w:ind w:right="-46"/>
                              <w:jc w:val="left"/>
                              <w:rPr>
                                <w:rFonts w:cs="Arial"/>
                                <w:b/>
                                <w:bCs/>
                                <w:sz w:val="52"/>
                                <w:szCs w:val="52"/>
                              </w:rPr>
                            </w:pPr>
                            <w:r w:rsidRPr="003B0E35">
                              <w:rPr>
                                <w:rFonts w:cs="Arial"/>
                                <w:b/>
                                <w:bCs/>
                                <w:sz w:val="52"/>
                                <w:szCs w:val="52"/>
                              </w:rPr>
                              <w:t>Money Matters</w:t>
                            </w:r>
                          </w:p>
                          <w:p w14:paraId="3D641D02" w14:textId="77777777" w:rsidR="00EF3BE0" w:rsidRPr="003B0E35" w:rsidRDefault="00162F2E" w:rsidP="0029129F">
                            <w:pPr>
                              <w:shd w:val="clear" w:color="auto" w:fill="FFFFFF" w:themeFill="background1"/>
                              <w:spacing w:after="0"/>
                              <w:ind w:right="-46"/>
                              <w:jc w:val="left"/>
                              <w:rPr>
                                <w:rFonts w:cs="Arial"/>
                                <w:b/>
                                <w:bCs/>
                                <w:sz w:val="52"/>
                                <w:szCs w:val="52"/>
                              </w:rPr>
                            </w:pPr>
                            <w:r w:rsidRPr="003B0E35">
                              <w:rPr>
                                <w:rFonts w:cs="Arial"/>
                                <w:b/>
                                <w:bCs/>
                                <w:sz w:val="52"/>
                                <w:szCs w:val="52"/>
                              </w:rPr>
                              <w:t xml:space="preserve">The County Council's Revenue and Capital Financial Position </w:t>
                            </w:r>
                          </w:p>
                          <w:p w14:paraId="44B9AC58" w14:textId="77777777" w:rsidR="00EF3BE0" w:rsidRPr="0037393E" w:rsidRDefault="00162F2E" w:rsidP="0029129F">
                            <w:pPr>
                              <w:shd w:val="clear" w:color="auto" w:fill="FFFFFF" w:themeFill="background1"/>
                              <w:spacing w:after="0"/>
                              <w:ind w:right="-46"/>
                              <w:jc w:val="left"/>
                              <w:rPr>
                                <w:rFonts w:cs="Arial"/>
                                <w:b/>
                                <w:bCs/>
                                <w:sz w:val="52"/>
                                <w:szCs w:val="52"/>
                              </w:rPr>
                            </w:pPr>
                            <w:r w:rsidRPr="003B0E35">
                              <w:rPr>
                                <w:rFonts w:cs="Arial"/>
                                <w:b/>
                                <w:bCs/>
                                <w:sz w:val="52"/>
                                <w:szCs w:val="52"/>
                              </w:rPr>
                              <w:t>2021/22 Outturn</w:t>
                            </w:r>
                            <w:r>
                              <w:rPr>
                                <w:rFonts w:cs="Arial"/>
                                <w:b/>
                                <w:bCs/>
                                <w:sz w:val="52"/>
                                <w:szCs w:val="52"/>
                              </w:rPr>
                              <w:t xml:space="preserve"> </w:t>
                            </w:r>
                          </w:p>
                          <w:p w14:paraId="221584E9" w14:textId="77777777" w:rsidR="00EF3BE0" w:rsidRPr="0037393E" w:rsidRDefault="00EF3BE0" w:rsidP="00D10794">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45FF2F4" id="_x0000_t202" coordsize="21600,21600" o:spt="202" path="m,l,21600r21600,l21600,xe">
                <v:stroke joinstyle="miter"/>
                <v:path gradientshapeok="t" o:connecttype="rect"/>
              </v:shapetype>
              <v:shape id="Text Box 4" o:spid="_x0000_s1026" type="#_x0000_t202" style="position:absolute;left:0;text-align:left;margin-left:-14.2pt;margin-top:425.2pt;width:522.85pt;height:23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" filled="f" stroked="f">
                <v:textbox>
                  <w:txbxContent>
                    <w:p w14:paraId="1ACEC085" w14:textId="77777777" w:rsidR="00EF3BE0" w:rsidRDefault="00EF3BE0" w:rsidP="00D10794">
                      <w:pPr>
                        <w:spacing w:after="0"/>
                        <w:ind w:right="-46"/>
                        <w:jc w:val="left"/>
                        <w:rPr>
                          <w:rFonts w:cs="Arial"/>
                          <w:b/>
                          <w:bCs/>
                          <w:sz w:val="52"/>
                          <w:szCs w:val="52"/>
                        </w:rPr>
                      </w:pPr>
                    </w:p>
                    <w:p w14:paraId="08BC5BCD" w14:textId="77777777" w:rsidR="00EF3BE0" w:rsidRPr="0037393E" w:rsidRDefault="00EF3BE0" w:rsidP="00D10794">
                      <w:pPr>
                        <w:spacing w:after="0"/>
                        <w:ind w:right="-46"/>
                        <w:jc w:val="left"/>
                        <w:rPr>
                          <w:rFonts w:cs="Arial"/>
                          <w:b/>
                          <w:bCs/>
                          <w:sz w:val="52"/>
                          <w:szCs w:val="52"/>
                        </w:rPr>
                      </w:pPr>
                    </w:p>
                    <w:p w14:paraId="3D1A84C4" w14:textId="77777777" w:rsidR="00EF3BE0" w:rsidRPr="003B0E35" w:rsidRDefault="00162F2E" w:rsidP="0029129F">
                      <w:pPr>
                        <w:shd w:val="clear" w:color="auto" w:fill="FFFFFF" w:themeFill="background1"/>
                        <w:spacing w:after="0"/>
                        <w:ind w:right="-46"/>
                        <w:jc w:val="left"/>
                        <w:rPr>
                          <w:rFonts w:cs="Arial"/>
                          <w:b/>
                          <w:bCs/>
                          <w:sz w:val="52"/>
                          <w:szCs w:val="52"/>
                        </w:rPr>
                      </w:pPr>
                      <w:r w:rsidRPr="003B0E35">
                        <w:rPr>
                          <w:rFonts w:cs="Arial"/>
                          <w:b/>
                          <w:bCs/>
                          <w:sz w:val="52"/>
                          <w:szCs w:val="52"/>
                        </w:rPr>
                        <w:t>Money Matters</w:t>
                      </w:r>
                    </w:p>
                    <w:p w14:paraId="3D641D02" w14:textId="77777777" w:rsidR="00EF3BE0" w:rsidRPr="003B0E35" w:rsidRDefault="00162F2E" w:rsidP="0029129F">
                      <w:pPr>
                        <w:shd w:val="clear" w:color="auto" w:fill="FFFFFF" w:themeFill="background1"/>
                        <w:spacing w:after="0"/>
                        <w:ind w:right="-46"/>
                        <w:jc w:val="left"/>
                        <w:rPr>
                          <w:rFonts w:cs="Arial"/>
                          <w:b/>
                          <w:bCs/>
                          <w:sz w:val="52"/>
                          <w:szCs w:val="52"/>
                        </w:rPr>
                      </w:pPr>
                      <w:r w:rsidRPr="003B0E35">
                        <w:rPr>
                          <w:rFonts w:cs="Arial"/>
                          <w:b/>
                          <w:bCs/>
                          <w:sz w:val="52"/>
                          <w:szCs w:val="52"/>
                        </w:rPr>
                        <w:t xml:space="preserve">The County Council's Revenue and Capital Financial Position </w:t>
                      </w:r>
                    </w:p>
                    <w:p w14:paraId="44B9AC58" w14:textId="77777777" w:rsidR="00EF3BE0" w:rsidRPr="0037393E" w:rsidRDefault="00162F2E" w:rsidP="0029129F">
                      <w:pPr>
                        <w:shd w:val="clear" w:color="auto" w:fill="FFFFFF" w:themeFill="background1"/>
                        <w:spacing w:after="0"/>
                        <w:ind w:right="-46"/>
                        <w:jc w:val="left"/>
                        <w:rPr>
                          <w:rFonts w:cs="Arial"/>
                          <w:b/>
                          <w:bCs/>
                          <w:sz w:val="52"/>
                          <w:szCs w:val="52"/>
                        </w:rPr>
                      </w:pPr>
                      <w:r w:rsidRPr="003B0E35">
                        <w:rPr>
                          <w:rFonts w:cs="Arial"/>
                          <w:b/>
                          <w:bCs/>
                          <w:sz w:val="52"/>
                          <w:szCs w:val="52"/>
                        </w:rPr>
                        <w:t>2021/22 Outturn</w:t>
                      </w:r>
                      <w:r>
                        <w:rPr>
                          <w:rFonts w:cs="Arial"/>
                          <w:b/>
                          <w:bCs/>
                          <w:sz w:val="52"/>
                          <w:szCs w:val="52"/>
                        </w:rPr>
                        <w:t xml:space="preserve"> </w:t>
                      </w:r>
                    </w:p>
                    <w:p w14:paraId="221584E9" w14:textId="77777777" w:rsidR="00EF3BE0" w:rsidRPr="0037393E" w:rsidRDefault="00EF3BE0" w:rsidP="00D10794">
                      <w:pPr>
                        <w:spacing w:after="0"/>
                        <w:ind w:right="-46"/>
                        <w:jc w:val="left"/>
                        <w:rPr>
                          <w:rFonts w:cs="Arial"/>
                          <w:b/>
                          <w:bCs/>
                          <w:sz w:val="52"/>
                          <w:szCs w:val="52"/>
                        </w:rPr>
                      </w:pPr>
                    </w:p>
                  </w:txbxContent>
                </v:textbox>
                <w10:wrap anchorx="margin"/>
              </v:shape>
            </w:pict>
          </mc:Fallback>
        </mc:AlternateContent>
      </w:r>
    </w:p>
    <w:tbl>
      <w:tblPr>
        <w:tblStyle w:val="TableGrid"/>
        <w:tblW w:w="0" w:type="auto"/>
        <w:tblLook w:val="04A0" w:firstRow="1" w:lastRow="0" w:firstColumn="1" w:lastColumn="0" w:noHBand="0" w:noVBand="1"/>
      </w:tblPr>
      <w:tblGrid>
        <w:gridCol w:w="6305"/>
        <w:gridCol w:w="2189"/>
      </w:tblGrid>
      <w:tr w:rsidR="006E5B54" w14:paraId="21F7FAA3" w14:textId="77777777" w:rsidTr="003B0E35">
        <w:tc>
          <w:tcPr>
            <w:tcW w:w="6657" w:type="dxa"/>
            <w:shd w:val="clear" w:color="auto" w:fill="auto"/>
          </w:tcPr>
          <w:p w14:paraId="7A9C5161" w14:textId="77777777" w:rsidR="00D10794" w:rsidRPr="003B0E35" w:rsidRDefault="00D10794" w:rsidP="00D10794">
            <w:pPr>
              <w:spacing w:after="0"/>
              <w:ind w:right="-46"/>
              <w:jc w:val="center"/>
              <w:rPr>
                <w:rFonts w:cs="Arial"/>
                <w:b/>
                <w:bCs/>
                <w:sz w:val="26"/>
                <w:szCs w:val="26"/>
              </w:rPr>
            </w:pPr>
          </w:p>
          <w:p w14:paraId="59EAF072" w14:textId="77777777" w:rsidR="00D10794" w:rsidRPr="003B0E35" w:rsidRDefault="00162F2E" w:rsidP="0029129F">
            <w:pPr>
              <w:spacing w:after="0"/>
              <w:ind w:right="-46"/>
              <w:jc w:val="center"/>
              <w:rPr>
                <w:rFonts w:cs="Arial"/>
                <w:b/>
                <w:bCs/>
                <w:sz w:val="26"/>
                <w:szCs w:val="26"/>
              </w:rPr>
            </w:pPr>
            <w:r w:rsidRPr="003B0E35">
              <w:rPr>
                <w:rFonts w:cs="Arial"/>
                <w:b/>
                <w:bCs/>
                <w:sz w:val="26"/>
                <w:szCs w:val="26"/>
              </w:rPr>
              <w:t>Contents</w:t>
            </w:r>
          </w:p>
          <w:p w14:paraId="25172925" w14:textId="77777777" w:rsidR="00D10794" w:rsidRPr="003B0E35" w:rsidRDefault="00D10794" w:rsidP="00D10794">
            <w:pPr>
              <w:spacing w:after="0"/>
              <w:ind w:right="-46"/>
              <w:jc w:val="center"/>
              <w:rPr>
                <w:rFonts w:cs="Arial"/>
                <w:b/>
                <w:bCs/>
                <w:sz w:val="26"/>
                <w:szCs w:val="26"/>
              </w:rPr>
            </w:pPr>
          </w:p>
        </w:tc>
        <w:tc>
          <w:tcPr>
            <w:tcW w:w="2318" w:type="dxa"/>
            <w:shd w:val="clear" w:color="auto" w:fill="auto"/>
          </w:tcPr>
          <w:p w14:paraId="04924138" w14:textId="77777777" w:rsidR="00D10794" w:rsidRPr="003B0E35" w:rsidRDefault="00D10794" w:rsidP="00D10794">
            <w:pPr>
              <w:spacing w:after="0"/>
              <w:ind w:right="-46"/>
              <w:jc w:val="center"/>
              <w:rPr>
                <w:rFonts w:cs="Arial"/>
                <w:b/>
                <w:bCs/>
                <w:sz w:val="26"/>
                <w:szCs w:val="26"/>
              </w:rPr>
            </w:pPr>
          </w:p>
          <w:p w14:paraId="79DCAD79" w14:textId="77777777" w:rsidR="00D10794" w:rsidRPr="003B0E35" w:rsidRDefault="00162F2E" w:rsidP="00D10794">
            <w:pPr>
              <w:spacing w:after="0"/>
              <w:ind w:right="-46"/>
              <w:jc w:val="center"/>
              <w:rPr>
                <w:rFonts w:cs="Arial"/>
                <w:b/>
                <w:bCs/>
                <w:sz w:val="26"/>
                <w:szCs w:val="26"/>
              </w:rPr>
            </w:pPr>
            <w:r w:rsidRPr="003B0E35">
              <w:rPr>
                <w:rFonts w:cs="Arial"/>
                <w:b/>
                <w:bCs/>
                <w:sz w:val="26"/>
                <w:szCs w:val="26"/>
              </w:rPr>
              <w:t>Page</w:t>
            </w:r>
          </w:p>
        </w:tc>
      </w:tr>
      <w:tr w:rsidR="006E5B54" w14:paraId="1073C19F" w14:textId="77777777" w:rsidTr="003B0E35">
        <w:tc>
          <w:tcPr>
            <w:tcW w:w="6657" w:type="dxa"/>
            <w:shd w:val="clear" w:color="auto" w:fill="auto"/>
            <w:vAlign w:val="center"/>
          </w:tcPr>
          <w:p w14:paraId="41570679" w14:textId="77777777" w:rsidR="00D10794" w:rsidRPr="003B0E35" w:rsidRDefault="00D10794" w:rsidP="00D10794">
            <w:pPr>
              <w:spacing w:after="0"/>
              <w:ind w:right="-46"/>
              <w:jc w:val="left"/>
              <w:rPr>
                <w:rFonts w:cs="Arial"/>
                <w:bCs/>
                <w:szCs w:val="26"/>
              </w:rPr>
            </w:pPr>
          </w:p>
          <w:p w14:paraId="42A01FD5" w14:textId="77777777" w:rsidR="00D10794" w:rsidRPr="003B0E35" w:rsidRDefault="00162F2E" w:rsidP="00D10794">
            <w:pPr>
              <w:spacing w:after="0"/>
              <w:ind w:right="-46"/>
              <w:jc w:val="left"/>
              <w:rPr>
                <w:rFonts w:cs="Arial"/>
                <w:bCs/>
                <w:szCs w:val="26"/>
              </w:rPr>
            </w:pPr>
            <w:r w:rsidRPr="003B0E35">
              <w:rPr>
                <w:rFonts w:cs="Arial"/>
                <w:bCs/>
                <w:szCs w:val="26"/>
              </w:rPr>
              <w:t>Executive Summary</w:t>
            </w:r>
          </w:p>
          <w:p w14:paraId="13F1F9FC" w14:textId="77777777" w:rsidR="00D10794" w:rsidRPr="003B0E35" w:rsidRDefault="00D10794" w:rsidP="00D10794">
            <w:pPr>
              <w:spacing w:after="0"/>
              <w:ind w:right="-46"/>
              <w:jc w:val="left"/>
              <w:rPr>
                <w:rFonts w:cs="Arial"/>
                <w:bCs/>
                <w:szCs w:val="26"/>
              </w:rPr>
            </w:pPr>
          </w:p>
        </w:tc>
        <w:tc>
          <w:tcPr>
            <w:tcW w:w="2318" w:type="dxa"/>
            <w:shd w:val="clear" w:color="auto" w:fill="auto"/>
            <w:vAlign w:val="center"/>
          </w:tcPr>
          <w:p w14:paraId="450FF696" w14:textId="77777777" w:rsidR="00D10794" w:rsidRPr="003B0E35" w:rsidRDefault="00162F2E" w:rsidP="00D10794">
            <w:pPr>
              <w:spacing w:after="0"/>
              <w:ind w:right="-46"/>
              <w:jc w:val="center"/>
              <w:rPr>
                <w:rFonts w:cs="Arial"/>
                <w:bCs/>
                <w:szCs w:val="26"/>
              </w:rPr>
            </w:pPr>
            <w:r w:rsidRPr="003B0E35">
              <w:rPr>
                <w:rFonts w:cs="Arial"/>
                <w:bCs/>
                <w:szCs w:val="26"/>
              </w:rPr>
              <w:t>2</w:t>
            </w:r>
          </w:p>
        </w:tc>
      </w:tr>
      <w:tr w:rsidR="006E5B54" w14:paraId="0BB1CA9D" w14:textId="77777777" w:rsidTr="003B0E35">
        <w:tc>
          <w:tcPr>
            <w:tcW w:w="6657" w:type="dxa"/>
            <w:shd w:val="clear" w:color="auto" w:fill="auto"/>
          </w:tcPr>
          <w:p w14:paraId="43D79E2B" w14:textId="77777777" w:rsidR="00D10794" w:rsidRPr="003B0E35" w:rsidRDefault="00D10794" w:rsidP="00D10794">
            <w:pPr>
              <w:tabs>
                <w:tab w:val="left" w:pos="1447"/>
              </w:tabs>
              <w:spacing w:after="0"/>
              <w:ind w:right="-46"/>
              <w:rPr>
                <w:rFonts w:cs="Arial"/>
                <w:bCs/>
              </w:rPr>
            </w:pPr>
          </w:p>
          <w:p w14:paraId="41DBB44F" w14:textId="77777777" w:rsidR="00D10794" w:rsidRPr="003B0E35" w:rsidRDefault="00162F2E" w:rsidP="00D10794">
            <w:pPr>
              <w:tabs>
                <w:tab w:val="left" w:pos="1447"/>
              </w:tabs>
              <w:spacing w:after="0"/>
              <w:ind w:right="-46"/>
              <w:rPr>
                <w:rFonts w:cs="Arial"/>
                <w:bCs/>
              </w:rPr>
            </w:pPr>
            <w:r w:rsidRPr="003B0E35">
              <w:rPr>
                <w:rFonts w:cs="Arial"/>
                <w:bCs/>
              </w:rPr>
              <w:t xml:space="preserve">Section A - The </w:t>
            </w:r>
            <w:r w:rsidR="004F05D5" w:rsidRPr="003B0E35">
              <w:rPr>
                <w:rFonts w:cs="Arial"/>
                <w:bCs/>
              </w:rPr>
              <w:t>2021/22</w:t>
            </w:r>
            <w:r w:rsidRPr="003B0E35">
              <w:rPr>
                <w:rFonts w:cs="Arial"/>
                <w:bCs/>
              </w:rPr>
              <w:t xml:space="preserve"> Revenue Budget</w:t>
            </w:r>
          </w:p>
          <w:p w14:paraId="24A108A0" w14:textId="77777777" w:rsidR="00D10794" w:rsidRPr="003B0E35" w:rsidRDefault="00D10794" w:rsidP="00D10794">
            <w:pPr>
              <w:tabs>
                <w:tab w:val="left" w:pos="1447"/>
              </w:tabs>
              <w:spacing w:after="0"/>
              <w:ind w:right="-46"/>
              <w:rPr>
                <w:rFonts w:cs="Arial"/>
                <w:bCs/>
              </w:rPr>
            </w:pPr>
          </w:p>
        </w:tc>
        <w:tc>
          <w:tcPr>
            <w:tcW w:w="2318" w:type="dxa"/>
            <w:shd w:val="clear" w:color="auto" w:fill="auto"/>
            <w:vAlign w:val="center"/>
          </w:tcPr>
          <w:p w14:paraId="50D4B85E" w14:textId="77777777" w:rsidR="00D10794" w:rsidRPr="003B0E35" w:rsidRDefault="00162F2E" w:rsidP="00D10794">
            <w:pPr>
              <w:spacing w:after="0"/>
              <w:ind w:right="-46"/>
              <w:jc w:val="center"/>
              <w:rPr>
                <w:rFonts w:cs="Arial"/>
                <w:bCs/>
              </w:rPr>
            </w:pPr>
            <w:r w:rsidRPr="003B0E35">
              <w:rPr>
                <w:rFonts w:cs="Arial"/>
                <w:bCs/>
              </w:rPr>
              <w:t>4</w:t>
            </w:r>
          </w:p>
        </w:tc>
      </w:tr>
      <w:tr w:rsidR="006E5B54" w14:paraId="50C3EBD3" w14:textId="77777777" w:rsidTr="00D10794">
        <w:tc>
          <w:tcPr>
            <w:tcW w:w="6657" w:type="dxa"/>
          </w:tcPr>
          <w:p w14:paraId="3EB6A20E" w14:textId="77777777" w:rsidR="00D10794" w:rsidRPr="00812801" w:rsidRDefault="00D10794" w:rsidP="00D10794">
            <w:pPr>
              <w:tabs>
                <w:tab w:val="left" w:pos="1447"/>
              </w:tabs>
              <w:spacing w:after="0"/>
              <w:ind w:right="-46"/>
              <w:rPr>
                <w:rFonts w:cs="Arial"/>
              </w:rPr>
            </w:pPr>
          </w:p>
          <w:p w14:paraId="7F73D5B0" w14:textId="77777777" w:rsidR="00D10794" w:rsidRPr="00812801" w:rsidRDefault="00162F2E" w:rsidP="00D10794">
            <w:pPr>
              <w:tabs>
                <w:tab w:val="left" w:pos="1447"/>
              </w:tabs>
              <w:spacing w:after="0"/>
              <w:ind w:right="-46"/>
              <w:rPr>
                <w:rFonts w:cs="Arial"/>
              </w:rPr>
            </w:pPr>
            <w:r w:rsidRPr="5C397B82">
              <w:rPr>
                <w:rFonts w:cs="Arial"/>
              </w:rPr>
              <w:t xml:space="preserve">Section B – The </w:t>
            </w:r>
            <w:r w:rsidR="004F05D5" w:rsidRPr="5C397B82">
              <w:rPr>
                <w:rFonts w:cs="Arial"/>
              </w:rPr>
              <w:t>2021/22</w:t>
            </w:r>
            <w:r w:rsidRPr="5C397B82">
              <w:rPr>
                <w:rFonts w:cs="Arial"/>
              </w:rPr>
              <w:t xml:space="preserve"> Schools Budget </w:t>
            </w:r>
          </w:p>
          <w:p w14:paraId="19D9C2A4" w14:textId="77777777" w:rsidR="00D10794" w:rsidRPr="00812801" w:rsidRDefault="00D10794" w:rsidP="00D10794">
            <w:pPr>
              <w:tabs>
                <w:tab w:val="left" w:pos="1447"/>
              </w:tabs>
              <w:spacing w:after="0"/>
              <w:ind w:right="-46"/>
              <w:rPr>
                <w:rFonts w:cs="Arial"/>
              </w:rPr>
            </w:pPr>
          </w:p>
        </w:tc>
        <w:tc>
          <w:tcPr>
            <w:tcW w:w="2318" w:type="dxa"/>
            <w:vAlign w:val="center"/>
          </w:tcPr>
          <w:p w14:paraId="520CD13D" w14:textId="3F884E66" w:rsidR="00D10794" w:rsidRPr="00812801" w:rsidRDefault="00162F2E" w:rsidP="00D10794">
            <w:pPr>
              <w:spacing w:after="0"/>
              <w:ind w:right="-46"/>
              <w:jc w:val="center"/>
              <w:rPr>
                <w:rFonts w:cs="Arial"/>
              </w:rPr>
            </w:pPr>
            <w:r>
              <w:rPr>
                <w:rFonts w:cs="Arial"/>
              </w:rPr>
              <w:t>3</w:t>
            </w:r>
            <w:r w:rsidR="00642D26">
              <w:rPr>
                <w:rFonts w:cs="Arial"/>
              </w:rPr>
              <w:t>1</w:t>
            </w:r>
          </w:p>
        </w:tc>
      </w:tr>
      <w:tr w:rsidR="006E5B54" w14:paraId="59B843D8" w14:textId="77777777" w:rsidTr="00D10794">
        <w:tc>
          <w:tcPr>
            <w:tcW w:w="6657" w:type="dxa"/>
          </w:tcPr>
          <w:p w14:paraId="073ACF41" w14:textId="77777777" w:rsidR="00D10794" w:rsidRPr="00812801" w:rsidRDefault="00D10794" w:rsidP="00D10794">
            <w:pPr>
              <w:tabs>
                <w:tab w:val="left" w:pos="1447"/>
              </w:tabs>
              <w:spacing w:after="0"/>
              <w:ind w:right="-46"/>
              <w:rPr>
                <w:rFonts w:cs="Arial"/>
              </w:rPr>
            </w:pPr>
          </w:p>
          <w:p w14:paraId="762D9CAB" w14:textId="77777777" w:rsidR="00D10794" w:rsidRPr="00812801" w:rsidRDefault="00162F2E" w:rsidP="00D10794">
            <w:pPr>
              <w:tabs>
                <w:tab w:val="left" w:pos="1447"/>
              </w:tabs>
              <w:spacing w:after="0"/>
              <w:ind w:right="-46"/>
              <w:rPr>
                <w:rFonts w:cs="Arial"/>
              </w:rPr>
            </w:pPr>
            <w:r w:rsidRPr="5C397B82">
              <w:rPr>
                <w:rFonts w:cs="Arial"/>
              </w:rPr>
              <w:t xml:space="preserve">Section C – The </w:t>
            </w:r>
            <w:r w:rsidR="004F05D5" w:rsidRPr="5C397B82">
              <w:rPr>
                <w:rFonts w:cs="Arial"/>
              </w:rPr>
              <w:t>2021/22</w:t>
            </w:r>
            <w:r w:rsidRPr="5C397B82">
              <w:rPr>
                <w:rFonts w:cs="Arial"/>
              </w:rPr>
              <w:t xml:space="preserve"> Capital Programme</w:t>
            </w:r>
          </w:p>
          <w:p w14:paraId="4EE044D4" w14:textId="77777777" w:rsidR="00D10794" w:rsidRPr="00812801" w:rsidRDefault="00D10794" w:rsidP="00D10794">
            <w:pPr>
              <w:tabs>
                <w:tab w:val="left" w:pos="1447"/>
              </w:tabs>
              <w:spacing w:after="0"/>
              <w:ind w:right="-46"/>
              <w:rPr>
                <w:rFonts w:cs="Arial"/>
              </w:rPr>
            </w:pPr>
          </w:p>
        </w:tc>
        <w:tc>
          <w:tcPr>
            <w:tcW w:w="2318" w:type="dxa"/>
            <w:vAlign w:val="center"/>
          </w:tcPr>
          <w:p w14:paraId="0CBD6AD6" w14:textId="53965780" w:rsidR="00D10794" w:rsidRPr="00812801" w:rsidRDefault="00162F2E" w:rsidP="00D10794">
            <w:pPr>
              <w:spacing w:after="0"/>
              <w:ind w:right="-46"/>
              <w:jc w:val="center"/>
              <w:rPr>
                <w:rFonts w:cs="Arial"/>
              </w:rPr>
            </w:pPr>
            <w:r>
              <w:rPr>
                <w:rFonts w:cs="Arial"/>
              </w:rPr>
              <w:t>3</w:t>
            </w:r>
            <w:r w:rsidR="00642D26">
              <w:rPr>
                <w:rFonts w:cs="Arial"/>
              </w:rPr>
              <w:t>5</w:t>
            </w:r>
          </w:p>
        </w:tc>
      </w:tr>
      <w:tr w:rsidR="006E5B54" w14:paraId="2759410F" w14:textId="77777777" w:rsidTr="00D10794">
        <w:tc>
          <w:tcPr>
            <w:tcW w:w="6657" w:type="dxa"/>
          </w:tcPr>
          <w:p w14:paraId="0D0FA6D7" w14:textId="77777777" w:rsidR="00D10794" w:rsidRPr="00812801" w:rsidRDefault="00D10794" w:rsidP="00D10794">
            <w:pPr>
              <w:tabs>
                <w:tab w:val="left" w:pos="1447"/>
              </w:tabs>
              <w:spacing w:after="0"/>
              <w:ind w:right="-46"/>
              <w:rPr>
                <w:rFonts w:cs="Arial"/>
              </w:rPr>
            </w:pPr>
          </w:p>
          <w:p w14:paraId="2C8032C4" w14:textId="77777777" w:rsidR="00D10794" w:rsidRPr="00812801" w:rsidRDefault="00162F2E" w:rsidP="00D10794">
            <w:pPr>
              <w:tabs>
                <w:tab w:val="left" w:pos="1447"/>
              </w:tabs>
              <w:spacing w:after="0"/>
              <w:ind w:left="1305" w:right="-46" w:hanging="1276"/>
              <w:rPr>
                <w:rFonts w:cs="Arial"/>
              </w:rPr>
            </w:pPr>
            <w:r w:rsidRPr="5C397B82">
              <w:rPr>
                <w:rFonts w:cs="Arial"/>
              </w:rPr>
              <w:t>Section D – County Fund Balance, Reserves, Provisions and Capital Receipts</w:t>
            </w:r>
          </w:p>
          <w:p w14:paraId="4D284692" w14:textId="77777777" w:rsidR="00D10794" w:rsidRPr="00812801" w:rsidRDefault="00D10794" w:rsidP="00D10794">
            <w:pPr>
              <w:tabs>
                <w:tab w:val="left" w:pos="1447"/>
              </w:tabs>
              <w:spacing w:after="0"/>
              <w:ind w:right="-46"/>
              <w:rPr>
                <w:rFonts w:cs="Arial"/>
              </w:rPr>
            </w:pPr>
          </w:p>
        </w:tc>
        <w:tc>
          <w:tcPr>
            <w:tcW w:w="2318" w:type="dxa"/>
            <w:vAlign w:val="center"/>
          </w:tcPr>
          <w:p w14:paraId="1D281FD0" w14:textId="77777777" w:rsidR="00D10794" w:rsidRPr="00812801" w:rsidRDefault="00162F2E" w:rsidP="00D10794">
            <w:pPr>
              <w:spacing w:after="0"/>
              <w:ind w:right="-46"/>
              <w:jc w:val="center"/>
              <w:rPr>
                <w:rFonts w:cs="Arial"/>
              </w:rPr>
            </w:pPr>
            <w:r>
              <w:rPr>
                <w:rFonts w:cs="Arial"/>
              </w:rPr>
              <w:t>49</w:t>
            </w:r>
          </w:p>
        </w:tc>
      </w:tr>
      <w:tr w:rsidR="006E5B54" w14:paraId="0211C346" w14:textId="77777777" w:rsidTr="00D10794">
        <w:tc>
          <w:tcPr>
            <w:tcW w:w="6657" w:type="dxa"/>
          </w:tcPr>
          <w:p w14:paraId="2621B5C4" w14:textId="77777777" w:rsidR="00D10794" w:rsidRPr="00812801" w:rsidRDefault="00D10794" w:rsidP="00D10794">
            <w:pPr>
              <w:tabs>
                <w:tab w:val="left" w:pos="1447"/>
              </w:tabs>
              <w:spacing w:after="0"/>
              <w:ind w:right="-46"/>
              <w:rPr>
                <w:rFonts w:cs="Arial"/>
              </w:rPr>
            </w:pPr>
          </w:p>
          <w:p w14:paraId="7646E775" w14:textId="77777777" w:rsidR="00D10794" w:rsidRPr="00812801" w:rsidRDefault="00162F2E" w:rsidP="00D10794">
            <w:pPr>
              <w:tabs>
                <w:tab w:val="left" w:pos="1447"/>
              </w:tabs>
              <w:spacing w:after="0"/>
              <w:ind w:right="-46"/>
              <w:rPr>
                <w:rFonts w:cs="Arial"/>
              </w:rPr>
            </w:pPr>
            <w:r w:rsidRPr="5C397B82">
              <w:rPr>
                <w:rFonts w:cs="Arial"/>
              </w:rPr>
              <w:t xml:space="preserve">Section E – Conclusion on the County Council's Financial      </w:t>
            </w:r>
            <w:r>
              <w:tab/>
            </w:r>
            <w:r w:rsidRPr="5C397B82">
              <w:rPr>
                <w:rFonts w:cs="Arial"/>
              </w:rPr>
              <w:t>Health</w:t>
            </w:r>
          </w:p>
          <w:p w14:paraId="192A69BE" w14:textId="77777777" w:rsidR="00D10794" w:rsidRPr="00812801" w:rsidRDefault="00D10794" w:rsidP="00D10794">
            <w:pPr>
              <w:tabs>
                <w:tab w:val="left" w:pos="1447"/>
              </w:tabs>
              <w:spacing w:after="0"/>
              <w:ind w:right="-46"/>
              <w:rPr>
                <w:rFonts w:cs="Arial"/>
              </w:rPr>
            </w:pPr>
          </w:p>
        </w:tc>
        <w:tc>
          <w:tcPr>
            <w:tcW w:w="2318" w:type="dxa"/>
            <w:vAlign w:val="center"/>
          </w:tcPr>
          <w:p w14:paraId="0B2769C8" w14:textId="77777777" w:rsidR="00D10794" w:rsidRPr="00812801" w:rsidRDefault="00162F2E" w:rsidP="00D10794">
            <w:pPr>
              <w:spacing w:after="0"/>
              <w:ind w:right="-46"/>
              <w:jc w:val="center"/>
              <w:rPr>
                <w:rFonts w:cs="Arial"/>
              </w:rPr>
            </w:pPr>
            <w:r w:rsidRPr="0CFBF26B">
              <w:rPr>
                <w:rFonts w:cs="Arial"/>
              </w:rPr>
              <w:t>5</w:t>
            </w:r>
            <w:r w:rsidR="00D257BA">
              <w:rPr>
                <w:rFonts w:cs="Arial"/>
              </w:rPr>
              <w:t>2</w:t>
            </w:r>
          </w:p>
        </w:tc>
      </w:tr>
    </w:tbl>
    <w:p w14:paraId="7E7D0EF2" w14:textId="77777777" w:rsidR="00D10794" w:rsidRPr="00812801" w:rsidRDefault="00162F2E" w:rsidP="00D10794">
      <w:pPr>
        <w:tabs>
          <w:tab w:val="left" w:pos="851"/>
          <w:tab w:val="left" w:pos="1418"/>
        </w:tabs>
        <w:spacing w:after="0"/>
        <w:rPr>
          <w:rFonts w:eastAsia="Times New Roman" w:cs="Arial"/>
          <w:lang w:eastAsia="en-GB"/>
        </w:rPr>
      </w:pPr>
      <w:r w:rsidRPr="5C397B82">
        <w:rPr>
          <w:rFonts w:eastAsia="Times New Roman" w:cs="Arial"/>
          <w:lang w:eastAsia="en-GB"/>
        </w:rPr>
        <w:t xml:space="preserve">                                                                                                                                                             </w:t>
      </w:r>
      <w:r>
        <w:tab/>
      </w:r>
      <w:r w:rsidRPr="5C397B82">
        <w:rPr>
          <w:rFonts w:eastAsia="Times New Roman" w:cs="Arial"/>
          <w:lang w:eastAsia="en-GB"/>
        </w:rPr>
        <w:t xml:space="preserve">                                                                                                                                                                                                                                                                                                                                                                                                                                                                                                                                                                                                                                                                                                                                                                                                                                                                                                                                                                                                                                                                                                                                                                                                                                                                                                                                                                                                                                                                   </w:t>
      </w:r>
    </w:p>
    <w:p w14:paraId="1EB354CD" w14:textId="77777777" w:rsidR="00D10794" w:rsidRPr="00812801" w:rsidRDefault="00162F2E" w:rsidP="00D10794">
      <w:pPr>
        <w:autoSpaceDE/>
        <w:autoSpaceDN/>
        <w:adjustRightInd/>
        <w:spacing w:after="0"/>
        <w:jc w:val="left"/>
        <w:rPr>
          <w:rFonts w:eastAsia="Times New Roman" w:cs="Arial"/>
          <w:highlight w:val="yellow"/>
          <w:lang w:eastAsia="en-GB"/>
        </w:rPr>
      </w:pPr>
      <w:r w:rsidRPr="00812801">
        <w:rPr>
          <w:rFonts w:eastAsia="Times New Roman" w:cs="Arial"/>
          <w:highlight w:val="yellow"/>
          <w:lang w:eastAsia="en-GB"/>
        </w:rPr>
        <w:br w:type="page"/>
      </w:r>
    </w:p>
    <w:p w14:paraId="60C902D4" w14:textId="77777777" w:rsidR="00D10794" w:rsidRPr="00812801" w:rsidRDefault="00162F2E" w:rsidP="42DFBE7F">
      <w:pPr>
        <w:autoSpaceDE/>
        <w:autoSpaceDN/>
        <w:adjustRightInd/>
        <w:spacing w:after="0"/>
        <w:jc w:val="left"/>
        <w:rPr>
          <w:rFonts w:eastAsia="Times New Roman" w:cs="Arial"/>
          <w:b/>
          <w:bCs/>
          <w:lang w:eastAsia="en-GB"/>
        </w:rPr>
      </w:pPr>
      <w:r w:rsidRPr="42DFBE7F">
        <w:rPr>
          <w:rFonts w:eastAsia="Times New Roman" w:cs="Arial"/>
          <w:b/>
          <w:bCs/>
          <w:lang w:eastAsia="en-GB"/>
        </w:rPr>
        <w:lastRenderedPageBreak/>
        <w:t>Executive Summary</w:t>
      </w:r>
    </w:p>
    <w:p w14:paraId="1A7E6E5D" w14:textId="77777777" w:rsidR="00D10794" w:rsidRPr="00812801" w:rsidRDefault="00D10794" w:rsidP="42DFBE7F">
      <w:pPr>
        <w:tabs>
          <w:tab w:val="left" w:pos="851"/>
          <w:tab w:val="left" w:pos="1418"/>
        </w:tabs>
        <w:spacing w:after="0"/>
        <w:rPr>
          <w:rFonts w:eastAsia="Times New Roman" w:cs="Arial"/>
          <w:b/>
          <w:bCs/>
          <w:lang w:eastAsia="en-GB"/>
        </w:rPr>
      </w:pPr>
    </w:p>
    <w:p w14:paraId="7F5C961C" w14:textId="77777777" w:rsidR="00D10794" w:rsidRPr="00812801" w:rsidRDefault="00162F2E" w:rsidP="42DFBE7F">
      <w:pPr>
        <w:tabs>
          <w:tab w:val="left" w:pos="851"/>
          <w:tab w:val="left" w:pos="1418"/>
        </w:tabs>
        <w:spacing w:after="0"/>
        <w:rPr>
          <w:rFonts w:eastAsia="Times New Roman" w:cs="Arial"/>
          <w:lang w:eastAsia="en-GB"/>
        </w:rPr>
      </w:pPr>
      <w:r w:rsidRPr="42DFBE7F">
        <w:rPr>
          <w:rFonts w:eastAsia="Times New Roman" w:cs="Arial"/>
          <w:lang w:eastAsia="en-GB"/>
        </w:rPr>
        <w:t xml:space="preserve">This report provides details for Cabinet on the County Council's 2021/22 revenue and capital outturn position. </w:t>
      </w:r>
    </w:p>
    <w:p w14:paraId="1DF7B672" w14:textId="77777777" w:rsidR="00D10794" w:rsidRPr="00812801" w:rsidRDefault="00D10794" w:rsidP="00D10794">
      <w:pPr>
        <w:tabs>
          <w:tab w:val="left" w:pos="851"/>
          <w:tab w:val="left" w:pos="1418"/>
        </w:tabs>
        <w:spacing w:after="0"/>
        <w:rPr>
          <w:rFonts w:eastAsia="Times New Roman" w:cs="Arial"/>
          <w:highlight w:val="yellow"/>
          <w:lang w:eastAsia="en-GB"/>
        </w:rPr>
      </w:pPr>
    </w:p>
    <w:p w14:paraId="431EFA12" w14:textId="77777777" w:rsidR="00D10794" w:rsidRPr="00812801" w:rsidRDefault="00162F2E" w:rsidP="42DFBE7F">
      <w:pPr>
        <w:tabs>
          <w:tab w:val="left" w:pos="851"/>
          <w:tab w:val="left" w:pos="1418"/>
        </w:tabs>
        <w:spacing w:after="0"/>
        <w:rPr>
          <w:rFonts w:eastAsia="Times New Roman" w:cs="Arial"/>
          <w:i/>
          <w:iCs/>
          <w:u w:val="single"/>
          <w:lang w:eastAsia="en-GB"/>
        </w:rPr>
      </w:pPr>
      <w:r w:rsidRPr="42DFBE7F">
        <w:rPr>
          <w:rFonts w:eastAsia="Times New Roman" w:cs="Arial"/>
          <w:i/>
          <w:iCs/>
          <w:u w:val="single"/>
          <w:lang w:eastAsia="en-GB"/>
        </w:rPr>
        <w:t xml:space="preserve">2021/22 Revenue Budget </w:t>
      </w:r>
    </w:p>
    <w:p w14:paraId="166C6965" w14:textId="77777777" w:rsidR="00D10794" w:rsidRPr="00812801" w:rsidRDefault="00D10794" w:rsidP="42DFBE7F">
      <w:pPr>
        <w:tabs>
          <w:tab w:val="left" w:pos="851"/>
          <w:tab w:val="left" w:pos="1418"/>
        </w:tabs>
        <w:spacing w:after="0"/>
        <w:rPr>
          <w:rFonts w:eastAsia="Times New Roman" w:cs="Arial"/>
          <w:i/>
          <w:iCs/>
          <w:u w:val="single"/>
          <w:lang w:eastAsia="en-GB"/>
        </w:rPr>
      </w:pPr>
    </w:p>
    <w:p w14:paraId="58140DE6" w14:textId="77777777" w:rsidR="00D10794" w:rsidRPr="001A1C32" w:rsidRDefault="00162F2E" w:rsidP="00D10794">
      <w:pPr>
        <w:tabs>
          <w:tab w:val="left" w:pos="851"/>
          <w:tab w:val="left" w:pos="1418"/>
        </w:tabs>
        <w:spacing w:after="0"/>
        <w:rPr>
          <w:rFonts w:eastAsia="Times New Roman" w:cs="Arial"/>
          <w:lang w:eastAsia="en-GB"/>
        </w:rPr>
      </w:pPr>
      <w:r w:rsidRPr="100895C9">
        <w:rPr>
          <w:rFonts w:eastAsia="Times New Roman" w:cs="Arial"/>
          <w:lang w:eastAsia="en-GB"/>
        </w:rPr>
        <w:t xml:space="preserve">The report outlines the final revenue outturn position whilst also providing a comparison to the last reported position at Quarter 3. The final position at the end of the year is net expenditure </w:t>
      </w:r>
      <w:r w:rsidRPr="100895C9">
        <w:rPr>
          <w:rFonts w:eastAsia="Times New Roman" w:cs="Arial"/>
          <w:color w:val="auto"/>
          <w:lang w:eastAsia="en-GB"/>
        </w:rPr>
        <w:t xml:space="preserve">of </w:t>
      </w:r>
      <w:r w:rsidRPr="001A1C32">
        <w:rPr>
          <w:rFonts w:eastAsia="Times New Roman" w:cs="Arial"/>
          <w:color w:val="auto"/>
          <w:lang w:eastAsia="en-GB"/>
        </w:rPr>
        <w:t>£8</w:t>
      </w:r>
      <w:r w:rsidR="001A1C32" w:rsidRPr="001A1C32">
        <w:rPr>
          <w:rFonts w:eastAsia="Times New Roman" w:cs="Arial"/>
          <w:color w:val="auto"/>
          <w:lang w:eastAsia="en-GB"/>
        </w:rPr>
        <w:t>51.4</w:t>
      </w:r>
      <w:r w:rsidR="00441233">
        <w:rPr>
          <w:rFonts w:eastAsia="Times New Roman" w:cs="Arial"/>
          <w:color w:val="auto"/>
          <w:lang w:eastAsia="en-GB"/>
        </w:rPr>
        <w:t>90</w:t>
      </w:r>
      <w:r w:rsidRPr="001A1C32">
        <w:rPr>
          <w:rFonts w:eastAsia="Times New Roman" w:cs="Arial"/>
          <w:color w:val="auto"/>
          <w:lang w:eastAsia="en-GB"/>
        </w:rPr>
        <w:t xml:space="preserve">m, </w:t>
      </w:r>
      <w:r w:rsidRPr="001A1C32">
        <w:t>against</w:t>
      </w:r>
      <w:r>
        <w:t xml:space="preserve"> an approved budget of £881.413m</w:t>
      </w:r>
      <w:r w:rsidRPr="100895C9">
        <w:rPr>
          <w:rFonts w:eastAsia="Times New Roman" w:cs="Arial"/>
          <w:color w:val="auto"/>
          <w:lang w:eastAsia="en-GB"/>
        </w:rPr>
        <w:t xml:space="preserve">, which </w:t>
      </w:r>
      <w:r w:rsidRPr="100895C9">
        <w:rPr>
          <w:rFonts w:eastAsia="Times New Roman" w:cs="Arial"/>
          <w:lang w:eastAsia="en-GB"/>
        </w:rPr>
        <w:t xml:space="preserve">represents an in-year </w:t>
      </w:r>
      <w:r w:rsidRPr="001A1C32">
        <w:rPr>
          <w:rFonts w:eastAsia="Times New Roman" w:cs="Arial"/>
          <w:lang w:eastAsia="en-GB"/>
        </w:rPr>
        <w:t>underspend of £</w:t>
      </w:r>
      <w:r w:rsidR="001A1C32" w:rsidRPr="001A1C32">
        <w:rPr>
          <w:rFonts w:eastAsia="Times New Roman" w:cs="Arial"/>
          <w:lang w:eastAsia="en-GB"/>
        </w:rPr>
        <w:t>2</w:t>
      </w:r>
      <w:r w:rsidRPr="001A1C32">
        <w:rPr>
          <w:rFonts w:eastAsia="Times New Roman" w:cs="Arial"/>
          <w:lang w:eastAsia="en-GB"/>
        </w:rPr>
        <w:t>9.</w:t>
      </w:r>
      <w:r w:rsidR="001A1C32" w:rsidRPr="001A1C32">
        <w:rPr>
          <w:rFonts w:eastAsia="Times New Roman" w:cs="Arial"/>
          <w:lang w:eastAsia="en-GB"/>
        </w:rPr>
        <w:t>9</w:t>
      </w:r>
      <w:r w:rsidR="00441233">
        <w:rPr>
          <w:rFonts w:eastAsia="Times New Roman" w:cs="Arial"/>
          <w:lang w:eastAsia="en-GB"/>
        </w:rPr>
        <w:t>23</w:t>
      </w:r>
      <w:r w:rsidRPr="001A1C32">
        <w:rPr>
          <w:rFonts w:eastAsia="Times New Roman" w:cs="Arial"/>
          <w:lang w:eastAsia="en-GB"/>
        </w:rPr>
        <w:t xml:space="preserve">m or </w:t>
      </w:r>
      <w:r w:rsidR="001A1C32">
        <w:rPr>
          <w:rFonts w:eastAsia="Times New Roman" w:cs="Arial"/>
          <w:lang w:eastAsia="en-GB"/>
        </w:rPr>
        <w:t>3.</w:t>
      </w:r>
      <w:r w:rsidR="00441233">
        <w:rPr>
          <w:rFonts w:eastAsia="Times New Roman" w:cs="Arial"/>
          <w:lang w:eastAsia="en-GB"/>
        </w:rPr>
        <w:t>39</w:t>
      </w:r>
      <w:r w:rsidRPr="001A1C32">
        <w:rPr>
          <w:rFonts w:eastAsia="Times New Roman" w:cs="Arial"/>
          <w:lang w:eastAsia="en-GB"/>
        </w:rPr>
        <w:t xml:space="preserve">% of the </w:t>
      </w:r>
      <w:r w:rsidRPr="06386BD1">
        <w:rPr>
          <w:rFonts w:eastAsia="Times New Roman" w:cs="Arial"/>
          <w:lang w:eastAsia="en-GB"/>
        </w:rPr>
        <w:t xml:space="preserve">net </w:t>
      </w:r>
      <w:r w:rsidRPr="001A1C32">
        <w:rPr>
          <w:rFonts w:eastAsia="Times New Roman" w:cs="Arial"/>
          <w:lang w:eastAsia="en-GB"/>
        </w:rPr>
        <w:t xml:space="preserve">revenue budget </w:t>
      </w:r>
    </w:p>
    <w:p w14:paraId="146611F7" w14:textId="77777777" w:rsidR="00D10794" w:rsidRPr="001A1C32" w:rsidRDefault="00D10794" w:rsidP="00D10794">
      <w:pPr>
        <w:tabs>
          <w:tab w:val="left" w:pos="851"/>
          <w:tab w:val="left" w:pos="1418"/>
        </w:tabs>
        <w:spacing w:after="0"/>
        <w:rPr>
          <w:rFonts w:eastAsia="Times New Roman" w:cs="Arial"/>
          <w:lang w:eastAsia="en-GB"/>
        </w:rPr>
      </w:pPr>
    </w:p>
    <w:p w14:paraId="2ACBE94E" w14:textId="77777777" w:rsidR="00D10794" w:rsidRPr="00812801" w:rsidRDefault="00162F2E" w:rsidP="100895C9">
      <w:pPr>
        <w:tabs>
          <w:tab w:val="left" w:pos="851"/>
          <w:tab w:val="left" w:pos="1418"/>
        </w:tabs>
        <w:spacing w:after="0"/>
        <w:rPr>
          <w:rFonts w:eastAsia="Times New Roman" w:cs="Arial"/>
          <w:lang w:eastAsia="en-GB"/>
        </w:rPr>
      </w:pPr>
      <w:r w:rsidRPr="100895C9">
        <w:rPr>
          <w:rFonts w:eastAsia="Times New Roman" w:cs="Arial"/>
          <w:lang w:eastAsia="en-GB"/>
        </w:rPr>
        <w:t>The most significant areas of over and underspend in 2021/22 are as follows:</w:t>
      </w:r>
    </w:p>
    <w:p w14:paraId="6BC20E21" w14:textId="77777777" w:rsidR="00D10794" w:rsidRPr="00812801" w:rsidRDefault="00D10794" w:rsidP="00396AA4">
      <w:pPr>
        <w:spacing w:after="0" w:line="308" w:lineRule="exact"/>
        <w:rPr>
          <w:rFonts w:ascii="Segoe UI" w:eastAsia="Segoe UI" w:hAnsi="Segoe UI" w:cs="Segoe UI"/>
          <w:color w:val="000000" w:themeColor="text1"/>
        </w:rPr>
      </w:pPr>
    </w:p>
    <w:p w14:paraId="0EA4FC0E" w14:textId="77777777" w:rsidR="00D10794" w:rsidRPr="00CE37D7" w:rsidRDefault="00162F2E" w:rsidP="00F83D62">
      <w:pPr>
        <w:pStyle w:val="ListParagraph"/>
        <w:numPr>
          <w:ilvl w:val="0"/>
          <w:numId w:val="26"/>
        </w:numPr>
        <w:spacing w:after="0"/>
        <w:rPr>
          <w:rFonts w:eastAsia="Segoe UI" w:cs="Arial"/>
          <w:color w:val="000000" w:themeColor="text1"/>
        </w:rPr>
      </w:pPr>
      <w:r w:rsidRPr="00CE37D7">
        <w:rPr>
          <w:rFonts w:eastAsia="Segoe UI" w:cs="Arial"/>
          <w:color w:val="000000" w:themeColor="text1"/>
        </w:rPr>
        <w:t xml:space="preserve">Adult Services - </w:t>
      </w:r>
      <w:r w:rsidRPr="00CE37D7">
        <w:rPr>
          <w:rFonts w:eastAsia="Segoe UI" w:cs="Arial"/>
          <w:b/>
          <w:bCs/>
          <w:color w:val="000000" w:themeColor="text1"/>
        </w:rPr>
        <w:t xml:space="preserve">£13.013m underspend </w:t>
      </w:r>
      <w:r w:rsidRPr="00CE37D7">
        <w:rPr>
          <w:rFonts w:eastAsia="Segoe UI" w:cs="Arial"/>
          <w:color w:val="000000" w:themeColor="text1"/>
        </w:rPr>
        <w:t>primarily</w:t>
      </w:r>
      <w:r w:rsidRPr="00CE37D7">
        <w:rPr>
          <w:rFonts w:eastAsia="Segoe UI" w:cs="Arial"/>
          <w:b/>
          <w:bCs/>
          <w:color w:val="000000" w:themeColor="text1"/>
        </w:rPr>
        <w:t xml:space="preserve"> </w:t>
      </w:r>
      <w:r w:rsidRPr="00CE37D7">
        <w:rPr>
          <w:rFonts w:eastAsia="Segoe UI" w:cs="Arial"/>
          <w:color w:val="000000" w:themeColor="text1"/>
        </w:rPr>
        <w:t xml:space="preserve">as a result of lower than anticipated demand in some service areas due to the ongoing effects of the pandemic and additional income received from Health </w:t>
      </w:r>
      <w:r w:rsidR="00D427E0">
        <w:rPr>
          <w:rFonts w:eastAsia="Segoe UI" w:cs="Arial"/>
          <w:color w:val="000000" w:themeColor="text1"/>
        </w:rPr>
        <w:t xml:space="preserve">agreed </w:t>
      </w:r>
      <w:r w:rsidRPr="00CE37D7">
        <w:rPr>
          <w:rFonts w:eastAsia="Segoe UI" w:cs="Arial"/>
          <w:color w:val="000000" w:themeColor="text1"/>
        </w:rPr>
        <w:t xml:space="preserve">contributions to complex packages of care and Covid-19 grants. </w:t>
      </w:r>
    </w:p>
    <w:p w14:paraId="6A66667F" w14:textId="77777777" w:rsidR="00D10794" w:rsidRPr="00CE37D7" w:rsidRDefault="00D10794" w:rsidP="00396AA4">
      <w:pPr>
        <w:spacing w:after="0" w:line="308" w:lineRule="exact"/>
        <w:rPr>
          <w:rFonts w:eastAsia="Segoe UI" w:cs="Arial"/>
          <w:color w:val="000000" w:themeColor="text1"/>
        </w:rPr>
      </w:pPr>
    </w:p>
    <w:p w14:paraId="757705ED" w14:textId="77777777" w:rsidR="00D10794" w:rsidRPr="00CE37D7" w:rsidRDefault="00162F2E" w:rsidP="00F83D62">
      <w:pPr>
        <w:pStyle w:val="ListParagraph"/>
        <w:numPr>
          <w:ilvl w:val="0"/>
          <w:numId w:val="26"/>
        </w:numPr>
        <w:spacing w:after="0"/>
        <w:rPr>
          <w:rFonts w:eastAsia="Segoe UI" w:cs="Arial"/>
          <w:color w:val="000000" w:themeColor="text1"/>
        </w:rPr>
      </w:pPr>
      <w:r w:rsidRPr="00CE37D7">
        <w:rPr>
          <w:rFonts w:eastAsia="Segoe UI" w:cs="Arial"/>
          <w:color w:val="000000" w:themeColor="text1"/>
        </w:rPr>
        <w:t xml:space="preserve">Highways and Transport - </w:t>
      </w:r>
      <w:r w:rsidRPr="00CE37D7">
        <w:rPr>
          <w:rFonts w:eastAsia="Segoe UI" w:cs="Arial"/>
          <w:b/>
          <w:bCs/>
          <w:color w:val="000000" w:themeColor="text1"/>
        </w:rPr>
        <w:t xml:space="preserve">£7.890m overspend </w:t>
      </w:r>
      <w:r w:rsidRPr="00CE37D7">
        <w:rPr>
          <w:rFonts w:eastAsia="Segoe UI" w:cs="Arial"/>
          <w:color w:val="000000" w:themeColor="text1"/>
        </w:rPr>
        <w:t>due to income pressures</w:t>
      </w:r>
      <w:r w:rsidR="004C0C03">
        <w:rPr>
          <w:rFonts w:eastAsia="Segoe UI" w:cs="Arial"/>
          <w:color w:val="000000" w:themeColor="text1"/>
        </w:rPr>
        <w:t xml:space="preserve"> from fixed penalty notices</w:t>
      </w:r>
      <w:r w:rsidR="000C2C58">
        <w:rPr>
          <w:rFonts w:eastAsia="Segoe UI" w:cs="Arial"/>
          <w:color w:val="000000" w:themeColor="text1"/>
        </w:rPr>
        <w:t>,</w:t>
      </w:r>
      <w:r w:rsidR="0069446A">
        <w:rPr>
          <w:rFonts w:eastAsia="Segoe UI" w:cs="Arial"/>
          <w:color w:val="000000" w:themeColor="text1"/>
        </w:rPr>
        <w:t xml:space="preserve"> a revenue contribution to Capital for structural defects</w:t>
      </w:r>
      <w:r w:rsidR="0AA26D0C" w:rsidRPr="00CE37D7">
        <w:rPr>
          <w:rFonts w:eastAsia="Segoe UI" w:cs="Arial"/>
          <w:color w:val="000000" w:themeColor="text1"/>
        </w:rPr>
        <w:t xml:space="preserve"> </w:t>
      </w:r>
      <w:r w:rsidR="0069446A">
        <w:rPr>
          <w:rFonts w:eastAsia="Segoe UI" w:cs="Arial"/>
          <w:color w:val="000000" w:themeColor="text1"/>
        </w:rPr>
        <w:t xml:space="preserve">and some delayed savings </w:t>
      </w:r>
      <w:r w:rsidR="000C2C58">
        <w:rPr>
          <w:rFonts w:eastAsia="Segoe UI" w:cs="Arial"/>
          <w:color w:val="000000" w:themeColor="text1"/>
        </w:rPr>
        <w:t>delivery</w:t>
      </w:r>
      <w:r w:rsidRPr="00CE37D7">
        <w:rPr>
          <w:rFonts w:eastAsia="Segoe UI" w:cs="Arial"/>
          <w:color w:val="000000" w:themeColor="text1"/>
        </w:rPr>
        <w:t xml:space="preserve">. </w:t>
      </w:r>
    </w:p>
    <w:p w14:paraId="722B5599" w14:textId="77777777" w:rsidR="00D10794" w:rsidRPr="00CE37D7" w:rsidRDefault="00D10794">
      <w:pPr>
        <w:spacing w:after="0" w:line="308" w:lineRule="exact"/>
        <w:rPr>
          <w:rFonts w:eastAsia="Segoe UI" w:cs="Arial"/>
          <w:color w:val="000000" w:themeColor="text1"/>
        </w:rPr>
      </w:pPr>
    </w:p>
    <w:p w14:paraId="037FBC35" w14:textId="77777777" w:rsidR="00D10794" w:rsidRPr="00CE37D7" w:rsidRDefault="00162F2E" w:rsidP="00F83D62">
      <w:pPr>
        <w:pStyle w:val="ListParagraph"/>
        <w:numPr>
          <w:ilvl w:val="0"/>
          <w:numId w:val="26"/>
        </w:numPr>
        <w:spacing w:after="0"/>
        <w:rPr>
          <w:rFonts w:eastAsia="Segoe UI" w:cs="Arial"/>
          <w:color w:val="000000" w:themeColor="text1"/>
        </w:rPr>
      </w:pPr>
      <w:r w:rsidRPr="00CE37D7">
        <w:rPr>
          <w:rFonts w:eastAsia="Arial" w:cs="Arial"/>
          <w:color w:val="000000" w:themeColor="text1"/>
        </w:rPr>
        <w:t xml:space="preserve">Strategy and Performance – </w:t>
      </w:r>
      <w:r w:rsidRPr="00CE37D7">
        <w:rPr>
          <w:rFonts w:eastAsia="Arial" w:cs="Arial"/>
          <w:b/>
          <w:color w:val="000000" w:themeColor="text1"/>
        </w:rPr>
        <w:t>£7.515m overspend</w:t>
      </w:r>
      <w:r w:rsidRPr="00CE37D7">
        <w:rPr>
          <w:rFonts w:eastAsia="Arial" w:cs="Arial"/>
          <w:color w:val="000000" w:themeColor="text1"/>
        </w:rPr>
        <w:t xml:space="preserve"> due </w:t>
      </w:r>
      <w:r w:rsidR="00D427E0">
        <w:rPr>
          <w:rFonts w:eastAsia="Arial" w:cs="Arial"/>
          <w:color w:val="000000" w:themeColor="text1"/>
        </w:rPr>
        <w:t xml:space="preserve">primarily </w:t>
      </w:r>
      <w:r w:rsidRPr="00CE37D7">
        <w:rPr>
          <w:rFonts w:eastAsia="Arial" w:cs="Arial"/>
          <w:color w:val="000000" w:themeColor="text1"/>
        </w:rPr>
        <w:t xml:space="preserve">to reduced income in the school catering service </w:t>
      </w:r>
      <w:r w:rsidR="0CFBF26B" w:rsidRPr="00CE37D7">
        <w:rPr>
          <w:rFonts w:eastAsia="Arial" w:cs="Arial"/>
          <w:color w:val="000000" w:themeColor="text1"/>
        </w:rPr>
        <w:t>of £2.861</w:t>
      </w:r>
      <w:r w:rsidR="002F162A">
        <w:rPr>
          <w:rFonts w:eastAsia="Arial" w:cs="Arial"/>
          <w:color w:val="000000" w:themeColor="text1"/>
        </w:rPr>
        <w:t>m</w:t>
      </w:r>
      <w:r w:rsidR="00D427E0">
        <w:rPr>
          <w:rFonts w:eastAsia="Arial" w:cs="Arial"/>
          <w:color w:val="000000" w:themeColor="text1"/>
        </w:rPr>
        <w:t xml:space="preserve"> and </w:t>
      </w:r>
      <w:r w:rsidRPr="00CE37D7">
        <w:rPr>
          <w:rFonts w:eastAsia="Arial" w:cs="Arial"/>
          <w:color w:val="000000" w:themeColor="text1"/>
        </w:rPr>
        <w:t xml:space="preserve">the </w:t>
      </w:r>
      <w:r w:rsidR="0CFBF26B" w:rsidRPr="00CE37D7">
        <w:rPr>
          <w:rFonts w:eastAsia="Arial" w:cs="Arial"/>
          <w:color w:val="000000" w:themeColor="text1"/>
        </w:rPr>
        <w:t>remaining £4.972</w:t>
      </w:r>
      <w:r w:rsidR="002F162A">
        <w:rPr>
          <w:rFonts w:eastAsia="Arial" w:cs="Arial"/>
          <w:color w:val="000000" w:themeColor="text1"/>
        </w:rPr>
        <w:t>m</w:t>
      </w:r>
      <w:r w:rsidR="0CFBF26B" w:rsidRPr="00CE37D7">
        <w:rPr>
          <w:rFonts w:eastAsia="Arial" w:cs="Arial"/>
          <w:color w:val="000000" w:themeColor="text1"/>
        </w:rPr>
        <w:t xml:space="preserve"> </w:t>
      </w:r>
      <w:r w:rsidR="002F162A">
        <w:rPr>
          <w:rFonts w:eastAsia="Arial" w:cs="Arial"/>
          <w:color w:val="000000" w:themeColor="text1"/>
        </w:rPr>
        <w:t xml:space="preserve">relates to </w:t>
      </w:r>
      <w:r w:rsidR="0CFBF26B" w:rsidRPr="00CE37D7">
        <w:rPr>
          <w:rFonts w:eastAsia="Arial" w:cs="Arial"/>
          <w:color w:val="000000" w:themeColor="text1"/>
        </w:rPr>
        <w:t xml:space="preserve"> </w:t>
      </w:r>
      <w:r w:rsidR="002F162A">
        <w:rPr>
          <w:rFonts w:eastAsia="Arial" w:cs="Arial"/>
          <w:color w:val="000000" w:themeColor="text1"/>
        </w:rPr>
        <w:t xml:space="preserve">early </w:t>
      </w:r>
      <w:r w:rsidR="0CFBF26B" w:rsidRPr="00CE37D7">
        <w:rPr>
          <w:rFonts w:eastAsia="Arial" w:cs="Arial"/>
          <w:color w:val="000000" w:themeColor="text1"/>
        </w:rPr>
        <w:t xml:space="preserve">repayment </w:t>
      </w:r>
      <w:r w:rsidR="002F162A">
        <w:rPr>
          <w:rFonts w:eastAsia="Arial" w:cs="Arial"/>
          <w:color w:val="000000" w:themeColor="text1"/>
        </w:rPr>
        <w:t xml:space="preserve">of </w:t>
      </w:r>
      <w:r w:rsidR="004C0C03">
        <w:rPr>
          <w:rFonts w:eastAsia="Arial" w:cs="Arial"/>
          <w:color w:val="000000" w:themeColor="text1"/>
        </w:rPr>
        <w:t>the Salix</w:t>
      </w:r>
      <w:r w:rsidR="0CFBF26B" w:rsidRPr="00CE37D7">
        <w:rPr>
          <w:rFonts w:eastAsia="Arial" w:cs="Arial"/>
          <w:color w:val="000000" w:themeColor="text1"/>
        </w:rPr>
        <w:t xml:space="preserve"> long-term loan</w:t>
      </w:r>
      <w:r w:rsidR="004C0C03">
        <w:rPr>
          <w:rFonts w:eastAsia="Arial" w:cs="Arial"/>
          <w:color w:val="000000" w:themeColor="text1"/>
        </w:rPr>
        <w:t xml:space="preserve"> for </w:t>
      </w:r>
      <w:r w:rsidR="002F162A">
        <w:rPr>
          <w:rFonts w:eastAsia="Arial" w:cs="Arial"/>
          <w:color w:val="000000" w:themeColor="text1"/>
        </w:rPr>
        <w:t>converting street lights to LED</w:t>
      </w:r>
      <w:r w:rsidR="0CFBF26B" w:rsidRPr="00CE37D7">
        <w:rPr>
          <w:rFonts w:eastAsia="Arial" w:cs="Arial"/>
          <w:color w:val="000000" w:themeColor="text1"/>
        </w:rPr>
        <w:t xml:space="preserve"> which will mitigate future pressures</w:t>
      </w:r>
      <w:r w:rsidRPr="00CE37D7">
        <w:rPr>
          <w:rFonts w:cs="Arial"/>
        </w:rPr>
        <w:t xml:space="preserve"> </w:t>
      </w:r>
      <w:r w:rsidR="004C0C03">
        <w:rPr>
          <w:rFonts w:cs="Arial"/>
        </w:rPr>
        <w:t>and result in revenue savings from 2023/24</w:t>
      </w:r>
    </w:p>
    <w:p w14:paraId="5663E6D7" w14:textId="77777777" w:rsidR="00D10794" w:rsidRPr="00CE37D7" w:rsidRDefault="00D10794">
      <w:pPr>
        <w:spacing w:after="0" w:line="308" w:lineRule="exact"/>
        <w:rPr>
          <w:rFonts w:eastAsia="Segoe UI" w:cs="Arial"/>
          <w:color w:val="000000" w:themeColor="text1"/>
        </w:rPr>
      </w:pPr>
    </w:p>
    <w:p w14:paraId="519B98AD" w14:textId="77777777" w:rsidR="00D10794" w:rsidRPr="00CE37D7" w:rsidRDefault="00162F2E" w:rsidP="00F83D62">
      <w:pPr>
        <w:pStyle w:val="ListParagraph"/>
        <w:numPr>
          <w:ilvl w:val="0"/>
          <w:numId w:val="26"/>
        </w:numPr>
        <w:spacing w:after="0"/>
        <w:rPr>
          <w:rFonts w:eastAsia="Segoe UI" w:cs="Arial"/>
          <w:color w:val="000000" w:themeColor="text1"/>
        </w:rPr>
      </w:pPr>
      <w:r w:rsidRPr="00CE37D7">
        <w:rPr>
          <w:rFonts w:eastAsia="Segoe UI" w:cs="Arial"/>
          <w:color w:val="000000" w:themeColor="text1"/>
        </w:rPr>
        <w:t xml:space="preserve">Treasury Management - </w:t>
      </w:r>
      <w:r w:rsidRPr="00CE37D7">
        <w:rPr>
          <w:rFonts w:eastAsia="Segoe UI" w:cs="Arial"/>
          <w:b/>
          <w:bCs/>
          <w:color w:val="000000" w:themeColor="text1"/>
        </w:rPr>
        <w:t>£13.500m underspend</w:t>
      </w:r>
      <w:r w:rsidRPr="00CE37D7">
        <w:rPr>
          <w:rFonts w:eastAsia="Segoe UI" w:cs="Arial"/>
          <w:color w:val="000000" w:themeColor="text1"/>
        </w:rPr>
        <w:t xml:space="preserve"> principally due to the sale of gilts and bonds. </w:t>
      </w:r>
    </w:p>
    <w:p w14:paraId="593D0521" w14:textId="77777777" w:rsidR="00D10794" w:rsidRPr="00CE37D7" w:rsidRDefault="00D10794">
      <w:pPr>
        <w:spacing w:after="0" w:line="308" w:lineRule="exact"/>
        <w:rPr>
          <w:rFonts w:eastAsia="Segoe UI" w:cs="Arial"/>
          <w:color w:val="000000" w:themeColor="text1"/>
        </w:rPr>
      </w:pPr>
    </w:p>
    <w:p w14:paraId="14FAAC7E" w14:textId="77777777" w:rsidR="00D10794" w:rsidRPr="00CE37D7" w:rsidRDefault="00162F2E" w:rsidP="00F83D62">
      <w:pPr>
        <w:pStyle w:val="ListParagraph"/>
        <w:numPr>
          <w:ilvl w:val="0"/>
          <w:numId w:val="26"/>
        </w:numPr>
        <w:spacing w:after="0"/>
        <w:rPr>
          <w:rFonts w:eastAsia="Segoe UI" w:cs="Arial"/>
          <w:color w:val="000000" w:themeColor="text1"/>
        </w:rPr>
      </w:pPr>
      <w:r w:rsidRPr="00CE37D7">
        <w:rPr>
          <w:rFonts w:eastAsia="Segoe UI" w:cs="Arial"/>
          <w:color w:val="000000" w:themeColor="text1"/>
        </w:rPr>
        <w:t xml:space="preserve">Education and Children's services </w:t>
      </w:r>
      <w:r w:rsidRPr="00CE37D7">
        <w:rPr>
          <w:rFonts w:eastAsia="Segoe UI" w:cs="Arial"/>
          <w:b/>
          <w:bCs/>
          <w:color w:val="000000" w:themeColor="text1"/>
        </w:rPr>
        <w:t>- £4.384m underspend</w:t>
      </w:r>
      <w:r w:rsidRPr="00CE37D7">
        <w:rPr>
          <w:rFonts w:eastAsia="Segoe UI" w:cs="Arial"/>
          <w:color w:val="000000" w:themeColor="text1"/>
        </w:rPr>
        <w:t xml:space="preserve"> due to a reduction in the numbers of children entering care.</w:t>
      </w:r>
    </w:p>
    <w:p w14:paraId="6FB807A8" w14:textId="77777777" w:rsidR="00D10794" w:rsidRPr="00CE37D7" w:rsidRDefault="00D10794">
      <w:pPr>
        <w:spacing w:after="0" w:line="308" w:lineRule="exact"/>
        <w:rPr>
          <w:rFonts w:eastAsia="Segoe UI" w:cs="Arial"/>
          <w:color w:val="000000" w:themeColor="text1"/>
        </w:rPr>
      </w:pPr>
    </w:p>
    <w:p w14:paraId="020AA67B" w14:textId="77777777" w:rsidR="00D10794" w:rsidRPr="00CE37D7" w:rsidRDefault="00162F2E" w:rsidP="00F83D62">
      <w:pPr>
        <w:pStyle w:val="ListParagraph"/>
        <w:numPr>
          <w:ilvl w:val="0"/>
          <w:numId w:val="26"/>
        </w:numPr>
        <w:spacing w:after="0"/>
        <w:rPr>
          <w:rFonts w:eastAsia="Segoe UI" w:cs="Arial"/>
          <w:color w:val="000000" w:themeColor="text1"/>
        </w:rPr>
      </w:pPr>
      <w:r w:rsidRPr="00CE37D7">
        <w:rPr>
          <w:rFonts w:eastAsia="Segoe UI" w:cs="Arial"/>
          <w:color w:val="000000" w:themeColor="text1"/>
        </w:rPr>
        <w:t xml:space="preserve">Corporate Budget (Funding and Grants) - </w:t>
      </w:r>
      <w:r w:rsidRPr="00CE37D7">
        <w:rPr>
          <w:rFonts w:eastAsia="Segoe UI" w:cs="Arial"/>
          <w:b/>
          <w:bCs/>
          <w:color w:val="000000" w:themeColor="text1"/>
        </w:rPr>
        <w:t>£1.873m overspend</w:t>
      </w:r>
      <w:r w:rsidRPr="00CE37D7">
        <w:rPr>
          <w:rFonts w:eastAsia="Segoe UI" w:cs="Arial"/>
          <w:color w:val="000000" w:themeColor="text1"/>
        </w:rPr>
        <w:t xml:space="preserve"> largely due to an additional contribution to the insurance provision. </w:t>
      </w:r>
    </w:p>
    <w:p w14:paraId="6DA16644" w14:textId="77777777" w:rsidR="00D10794" w:rsidRPr="00812801" w:rsidRDefault="00D10794" w:rsidP="00642D26">
      <w:pPr>
        <w:spacing w:after="0" w:line="308" w:lineRule="exact"/>
        <w:ind w:left="720"/>
      </w:pPr>
    </w:p>
    <w:p w14:paraId="63DD37A3" w14:textId="77777777" w:rsidR="00D10794" w:rsidRPr="00C904A5" w:rsidRDefault="00162F2E" w:rsidP="72666EB5">
      <w:pPr>
        <w:spacing w:after="0" w:line="308" w:lineRule="exact"/>
        <w:rPr>
          <w:rFonts w:cs="Arial"/>
          <w:color w:val="000000" w:themeColor="text1"/>
        </w:rPr>
      </w:pPr>
      <w:r w:rsidRPr="00C904A5">
        <w:rPr>
          <w:rFonts w:eastAsia="Segoe UI" w:cs="Arial"/>
          <w:i/>
          <w:iCs/>
          <w:color w:val="000000" w:themeColor="text1"/>
          <w:u w:val="single"/>
        </w:rPr>
        <w:t>2021/22 Revenue Reserves</w:t>
      </w:r>
    </w:p>
    <w:p w14:paraId="38AC5F94" w14:textId="77777777" w:rsidR="00D10794" w:rsidRPr="00C904A5" w:rsidRDefault="00D10794" w:rsidP="72666EB5">
      <w:pPr>
        <w:spacing w:after="0" w:line="308" w:lineRule="exact"/>
        <w:rPr>
          <w:rFonts w:cs="Arial"/>
          <w:color w:val="000000" w:themeColor="text1"/>
        </w:rPr>
      </w:pPr>
    </w:p>
    <w:p w14:paraId="47DB71CE" w14:textId="77777777" w:rsidR="00D10794" w:rsidRPr="00C904A5" w:rsidRDefault="00162F2E" w:rsidP="72666EB5">
      <w:pPr>
        <w:spacing w:after="0" w:line="308" w:lineRule="exact"/>
        <w:rPr>
          <w:rFonts w:cs="Arial"/>
          <w:color w:val="000000" w:themeColor="text1"/>
        </w:rPr>
      </w:pPr>
      <w:r w:rsidRPr="00C904A5">
        <w:rPr>
          <w:rFonts w:eastAsia="Segoe UI" w:cs="Arial"/>
          <w:color w:val="000000" w:themeColor="text1"/>
        </w:rPr>
        <w:t xml:space="preserve">The budget report to Full Council in February 2022 indicated that there would be sufficient funds remaining in reserves to support the budget beyond the MTFS period ending 2024/25. </w:t>
      </w:r>
    </w:p>
    <w:p w14:paraId="48A9B8C9" w14:textId="77777777" w:rsidR="00D10794" w:rsidRPr="00C904A5" w:rsidRDefault="00D10794" w:rsidP="72666EB5">
      <w:pPr>
        <w:spacing w:after="0" w:line="308" w:lineRule="exact"/>
        <w:rPr>
          <w:rFonts w:cs="Arial"/>
          <w:color w:val="000000" w:themeColor="text1"/>
        </w:rPr>
      </w:pPr>
    </w:p>
    <w:p w14:paraId="3222E5C4" w14:textId="77777777" w:rsidR="00D10794" w:rsidRPr="00C904A5" w:rsidRDefault="00162F2E" w:rsidP="72666EB5">
      <w:pPr>
        <w:spacing w:after="0" w:line="308" w:lineRule="exact"/>
        <w:rPr>
          <w:rFonts w:cs="Arial"/>
          <w:color w:val="000000" w:themeColor="text1"/>
        </w:rPr>
      </w:pPr>
      <w:r w:rsidRPr="00C904A5">
        <w:rPr>
          <w:rFonts w:eastAsia="Segoe UI" w:cs="Arial"/>
          <w:color w:val="000000" w:themeColor="text1"/>
        </w:rPr>
        <w:t>At the end of the financial year, a combination of the revenue underspend and reduced expenditure from reserves has led to an improved position with £215.777m being available in the transitional reserve at the end of 2021/22 for</w:t>
      </w:r>
      <w:r w:rsidRPr="6C5E7425">
        <w:rPr>
          <w:rFonts w:ascii="Segoe UI" w:eastAsia="Segoe UI" w:hAnsi="Segoe UI" w:cs="Segoe UI"/>
          <w:color w:val="000000" w:themeColor="text1"/>
        </w:rPr>
        <w:t xml:space="preserve"> </w:t>
      </w:r>
      <w:r w:rsidRPr="00C904A5">
        <w:rPr>
          <w:rFonts w:eastAsia="Segoe UI" w:cs="Arial"/>
          <w:color w:val="000000" w:themeColor="text1"/>
        </w:rPr>
        <w:t xml:space="preserve">future years; a positive variance of £4.027m, although a proportion of the increase is supporting future year commitments. With commitments of £37.317m forecast </w:t>
      </w:r>
      <w:r w:rsidRPr="00C904A5">
        <w:rPr>
          <w:rFonts w:eastAsia="Segoe UI" w:cs="Arial"/>
          <w:color w:val="000000" w:themeColor="text1"/>
        </w:rPr>
        <w:lastRenderedPageBreak/>
        <w:t>over the next 3 years</w:t>
      </w:r>
      <w:r w:rsidR="00750E6B">
        <w:rPr>
          <w:rFonts w:eastAsia="Segoe UI" w:cs="Arial"/>
          <w:color w:val="000000" w:themeColor="text1"/>
        </w:rPr>
        <w:t>, including the £18.840m agreed to support the 2022/23 budget</w:t>
      </w:r>
      <w:r w:rsidRPr="00C904A5">
        <w:rPr>
          <w:rFonts w:eastAsia="Segoe UI" w:cs="Arial"/>
          <w:color w:val="000000" w:themeColor="text1"/>
        </w:rPr>
        <w:t xml:space="preserve">, £178.460m is available to support the financial gap in 2022/23 and the full period of the current MTFS. </w:t>
      </w:r>
    </w:p>
    <w:p w14:paraId="7FD55582" w14:textId="77777777" w:rsidR="00D10794" w:rsidRPr="00C904A5" w:rsidRDefault="00D10794" w:rsidP="72666EB5">
      <w:pPr>
        <w:spacing w:after="0" w:line="308" w:lineRule="exact"/>
        <w:rPr>
          <w:rFonts w:cs="Arial"/>
          <w:color w:val="000000" w:themeColor="text1"/>
        </w:rPr>
      </w:pPr>
    </w:p>
    <w:p w14:paraId="363E5D1B" w14:textId="77777777" w:rsidR="00D10794" w:rsidRDefault="00162F2E" w:rsidP="72666EB5">
      <w:pPr>
        <w:spacing w:after="0" w:line="308" w:lineRule="exact"/>
        <w:rPr>
          <w:rFonts w:eastAsia="Segoe UI" w:cs="Arial"/>
          <w:color w:val="000000" w:themeColor="text1"/>
        </w:rPr>
      </w:pPr>
      <w:r w:rsidRPr="00C904A5">
        <w:rPr>
          <w:rFonts w:eastAsia="Segoe UI" w:cs="Arial"/>
          <w:color w:val="000000" w:themeColor="text1"/>
        </w:rPr>
        <w:t xml:space="preserve">While the council's reserve position remains healthy, there is clearly significant uncertainty around the ongoing impact and legacy of the pandemic including the anticipated increased future demand for a number of services such as social care. Further uncertainty remains around the likely implementation of the Fair Funding Review and Business Rate retention changes, the adult social charging changes coming in from October 2023, </w:t>
      </w:r>
      <w:r w:rsidR="00750E6B" w:rsidRPr="00C904A5">
        <w:rPr>
          <w:rFonts w:eastAsia="Segoe UI" w:cs="Arial"/>
          <w:color w:val="000000" w:themeColor="text1"/>
        </w:rPr>
        <w:t>and the ongoing pressure on social care provider fees</w:t>
      </w:r>
      <w:r w:rsidR="00750E6B">
        <w:rPr>
          <w:rFonts w:eastAsia="Segoe UI" w:cs="Arial"/>
          <w:color w:val="000000" w:themeColor="text1"/>
        </w:rPr>
        <w:t xml:space="preserve"> including </w:t>
      </w:r>
      <w:r w:rsidRPr="00C904A5">
        <w:rPr>
          <w:rFonts w:eastAsia="Segoe UI" w:cs="Arial"/>
          <w:color w:val="000000" w:themeColor="text1"/>
        </w:rPr>
        <w:t xml:space="preserve">the </w:t>
      </w:r>
      <w:r w:rsidR="00750E6B">
        <w:rPr>
          <w:rFonts w:eastAsia="Segoe UI" w:cs="Arial"/>
          <w:color w:val="000000" w:themeColor="text1"/>
        </w:rPr>
        <w:t>f</w:t>
      </w:r>
      <w:r w:rsidRPr="00C904A5">
        <w:rPr>
          <w:rFonts w:eastAsia="Segoe UI" w:cs="Arial"/>
          <w:color w:val="000000" w:themeColor="text1"/>
        </w:rPr>
        <w:t xml:space="preserve">air cost of care exercise that needs to be </w:t>
      </w:r>
      <w:r w:rsidR="00750E6B">
        <w:rPr>
          <w:rFonts w:eastAsia="Segoe UI" w:cs="Arial"/>
          <w:color w:val="000000" w:themeColor="text1"/>
        </w:rPr>
        <w:t>completed</w:t>
      </w:r>
      <w:r w:rsidR="00750E6B" w:rsidRPr="00C904A5">
        <w:rPr>
          <w:rFonts w:eastAsia="Segoe UI" w:cs="Arial"/>
          <w:color w:val="000000" w:themeColor="text1"/>
        </w:rPr>
        <w:t xml:space="preserve"> </w:t>
      </w:r>
      <w:r w:rsidRPr="00C904A5">
        <w:rPr>
          <w:rFonts w:eastAsia="Segoe UI" w:cs="Arial"/>
          <w:color w:val="000000" w:themeColor="text1"/>
        </w:rPr>
        <w:t>by October 2022</w:t>
      </w:r>
      <w:r w:rsidR="00750E6B">
        <w:rPr>
          <w:rFonts w:eastAsia="Segoe UI" w:cs="Arial"/>
          <w:color w:val="000000" w:themeColor="text1"/>
        </w:rPr>
        <w:t>.</w:t>
      </w:r>
    </w:p>
    <w:p w14:paraId="11869879" w14:textId="77777777" w:rsidR="00750E6B" w:rsidRPr="00C904A5" w:rsidRDefault="00750E6B" w:rsidP="72666EB5">
      <w:pPr>
        <w:spacing w:after="0" w:line="308" w:lineRule="exact"/>
        <w:rPr>
          <w:rFonts w:cs="Arial"/>
          <w:color w:val="000000" w:themeColor="text1"/>
        </w:rPr>
      </w:pPr>
    </w:p>
    <w:p w14:paraId="73940E41" w14:textId="77777777" w:rsidR="00D10794" w:rsidRDefault="00162F2E">
      <w:pPr>
        <w:spacing w:after="0" w:line="308" w:lineRule="exact"/>
        <w:rPr>
          <w:rFonts w:eastAsia="Segoe UI" w:cs="Arial"/>
          <w:color w:val="000000" w:themeColor="text1"/>
        </w:rPr>
      </w:pPr>
      <w:r w:rsidRPr="00C904A5">
        <w:rPr>
          <w:rFonts w:eastAsia="Segoe UI" w:cs="Arial"/>
          <w:color w:val="000000" w:themeColor="text1"/>
        </w:rPr>
        <w:t>There are also additional uncertainties regarding the financial impact of rising inflation, the current cost</w:t>
      </w:r>
      <w:r w:rsidR="00750E6B">
        <w:rPr>
          <w:rFonts w:eastAsia="Segoe UI" w:cs="Arial"/>
          <w:color w:val="000000" w:themeColor="text1"/>
        </w:rPr>
        <w:t xml:space="preserve"> </w:t>
      </w:r>
      <w:r w:rsidRPr="00C904A5">
        <w:rPr>
          <w:rFonts w:eastAsia="Segoe UI" w:cs="Arial"/>
          <w:color w:val="000000" w:themeColor="text1"/>
        </w:rPr>
        <w:t>of</w:t>
      </w:r>
      <w:r w:rsidR="00750E6B">
        <w:rPr>
          <w:rFonts w:eastAsia="Segoe UI" w:cs="Arial"/>
          <w:color w:val="000000" w:themeColor="text1"/>
        </w:rPr>
        <w:t xml:space="preserve"> </w:t>
      </w:r>
      <w:r w:rsidRPr="00C904A5">
        <w:rPr>
          <w:rFonts w:eastAsia="Segoe UI" w:cs="Arial"/>
          <w:color w:val="000000" w:themeColor="text1"/>
        </w:rPr>
        <w:t>living pressures on energy costs, fuel and foodstuffs and the ongoing negotiations on the local government pay award for 2022.23 and beyond.</w:t>
      </w:r>
    </w:p>
    <w:p w14:paraId="11F3CB94" w14:textId="77777777" w:rsidR="00750E6B" w:rsidRPr="00C904A5" w:rsidRDefault="00750E6B">
      <w:pPr>
        <w:spacing w:after="0" w:line="308" w:lineRule="exact"/>
        <w:rPr>
          <w:rFonts w:eastAsia="Segoe UI" w:cs="Arial"/>
          <w:color w:val="000000" w:themeColor="text1"/>
        </w:rPr>
      </w:pPr>
    </w:p>
    <w:p w14:paraId="50D598E6" w14:textId="77777777" w:rsidR="72666EB5" w:rsidRDefault="00162F2E">
      <w:pPr>
        <w:spacing w:after="0"/>
        <w:rPr>
          <w:rFonts w:eastAsia="Segoe UI" w:cs="Arial"/>
          <w:color w:val="000000" w:themeColor="text1"/>
        </w:rPr>
      </w:pPr>
      <w:r w:rsidRPr="00C904A5">
        <w:rPr>
          <w:rFonts w:eastAsia="Segoe UI" w:cs="Arial"/>
          <w:color w:val="000000" w:themeColor="text1"/>
        </w:rPr>
        <w:t>All of these areas will remain under detailed review and the financial impact reported to Cabinet during the year.</w:t>
      </w:r>
    </w:p>
    <w:p w14:paraId="2D5788DF" w14:textId="77777777" w:rsidR="00750E6B" w:rsidRPr="00C904A5" w:rsidRDefault="00750E6B" w:rsidP="00F83D62">
      <w:pPr>
        <w:spacing w:after="0"/>
        <w:rPr>
          <w:rFonts w:cs="Arial"/>
          <w:color w:val="000000" w:themeColor="text1"/>
        </w:rPr>
      </w:pPr>
    </w:p>
    <w:p w14:paraId="122A9A46" w14:textId="77777777" w:rsidR="00D10794" w:rsidRPr="00C904A5" w:rsidRDefault="00162F2E">
      <w:pPr>
        <w:spacing w:after="0" w:line="308" w:lineRule="exact"/>
        <w:rPr>
          <w:rFonts w:cs="Arial"/>
          <w:color w:val="000000" w:themeColor="text1"/>
        </w:rPr>
      </w:pPr>
      <w:r>
        <w:rPr>
          <w:rFonts w:eastAsia="Segoe UI" w:cs="Arial"/>
          <w:color w:val="000000" w:themeColor="text1"/>
        </w:rPr>
        <w:t xml:space="preserve">We also </w:t>
      </w:r>
      <w:r w:rsidR="00AE205A">
        <w:rPr>
          <w:rFonts w:eastAsia="Segoe UI" w:cs="Arial"/>
          <w:color w:val="000000" w:themeColor="text1"/>
        </w:rPr>
        <w:t xml:space="preserve">still </w:t>
      </w:r>
      <w:r>
        <w:rPr>
          <w:rFonts w:eastAsia="Segoe UI" w:cs="Arial"/>
          <w:color w:val="000000" w:themeColor="text1"/>
        </w:rPr>
        <w:t>await confirmation of when the long</w:t>
      </w:r>
      <w:r w:rsidR="004B4006">
        <w:rPr>
          <w:rFonts w:eastAsia="Segoe UI" w:cs="Arial"/>
          <w:color w:val="000000" w:themeColor="text1"/>
        </w:rPr>
        <w:t>-</w:t>
      </w:r>
      <w:r>
        <w:rPr>
          <w:rFonts w:eastAsia="Segoe UI" w:cs="Arial"/>
          <w:color w:val="000000" w:themeColor="text1"/>
        </w:rPr>
        <w:t xml:space="preserve">awaited </w:t>
      </w:r>
      <w:r w:rsidR="006F74D5" w:rsidRPr="00C904A5">
        <w:rPr>
          <w:rFonts w:eastAsia="Segoe UI" w:cs="Arial"/>
          <w:color w:val="000000" w:themeColor="text1"/>
        </w:rPr>
        <w:t xml:space="preserve">large-scale funding changes (fair funding/business rates retention/baseline reset) are </w:t>
      </w:r>
      <w:r>
        <w:rPr>
          <w:rFonts w:eastAsia="Segoe UI" w:cs="Arial"/>
          <w:color w:val="000000" w:themeColor="text1"/>
        </w:rPr>
        <w:t xml:space="preserve">going to be implemented from </w:t>
      </w:r>
      <w:r w:rsidR="00AE205A">
        <w:rPr>
          <w:rFonts w:eastAsia="Segoe UI" w:cs="Arial"/>
          <w:color w:val="000000" w:themeColor="text1"/>
        </w:rPr>
        <w:t xml:space="preserve">with the possibility of their further delay beyond </w:t>
      </w:r>
      <w:r w:rsidR="00352FB8">
        <w:rPr>
          <w:rFonts w:eastAsia="Segoe UI" w:cs="Arial"/>
          <w:color w:val="000000" w:themeColor="text1"/>
        </w:rPr>
        <w:t>2023/24</w:t>
      </w:r>
      <w:r w:rsidR="006F74D5" w:rsidRPr="00C904A5">
        <w:rPr>
          <w:rFonts w:eastAsia="Segoe UI" w:cs="Arial"/>
          <w:color w:val="000000" w:themeColor="text1"/>
        </w:rPr>
        <w:t>.</w:t>
      </w:r>
    </w:p>
    <w:p w14:paraId="076D18F2" w14:textId="77777777" w:rsidR="00D10794" w:rsidRPr="00C904A5" w:rsidRDefault="00D10794">
      <w:pPr>
        <w:spacing w:after="0" w:line="308" w:lineRule="exact"/>
        <w:rPr>
          <w:rFonts w:cs="Arial"/>
          <w:color w:val="000000" w:themeColor="text1"/>
        </w:rPr>
      </w:pPr>
    </w:p>
    <w:p w14:paraId="7F62A126" w14:textId="77777777" w:rsidR="00D10794" w:rsidRPr="00C904A5" w:rsidRDefault="00162F2E">
      <w:pPr>
        <w:tabs>
          <w:tab w:val="left" w:pos="851"/>
          <w:tab w:val="left" w:pos="1418"/>
        </w:tabs>
        <w:spacing w:after="0"/>
        <w:rPr>
          <w:rFonts w:cs="Arial"/>
        </w:rPr>
      </w:pPr>
      <w:r w:rsidRPr="00C904A5">
        <w:rPr>
          <w:rFonts w:eastAsia="Arial" w:cs="Arial"/>
          <w:i/>
          <w:iCs/>
          <w:color w:val="000000" w:themeColor="text1"/>
          <w:u w:val="single"/>
        </w:rPr>
        <w:t>2021/22 Capital Programme</w:t>
      </w:r>
    </w:p>
    <w:p w14:paraId="05CD3993" w14:textId="77777777" w:rsidR="00D10794" w:rsidRPr="00C904A5" w:rsidRDefault="00162F2E" w:rsidP="72666EB5">
      <w:pPr>
        <w:tabs>
          <w:tab w:val="left" w:pos="851"/>
          <w:tab w:val="left" w:pos="1418"/>
        </w:tabs>
        <w:spacing w:after="0"/>
        <w:rPr>
          <w:rFonts w:eastAsia="Arial" w:cs="Arial"/>
          <w:i/>
          <w:iCs/>
          <w:color w:val="000000" w:themeColor="text1"/>
        </w:rPr>
      </w:pPr>
      <w:r w:rsidRPr="00C904A5">
        <w:rPr>
          <w:rFonts w:eastAsia="Arial" w:cs="Arial"/>
          <w:i/>
          <w:iCs/>
          <w:color w:val="000000" w:themeColor="text1"/>
        </w:rPr>
        <w:t xml:space="preserve"> </w:t>
      </w:r>
    </w:p>
    <w:p w14:paraId="2D267F2A" w14:textId="77777777" w:rsidR="00D10794" w:rsidRDefault="00162F2E" w:rsidP="72666EB5">
      <w:pPr>
        <w:tabs>
          <w:tab w:val="left" w:pos="851"/>
          <w:tab w:val="left" w:pos="1418"/>
        </w:tabs>
        <w:spacing w:after="0"/>
        <w:rPr>
          <w:rFonts w:eastAsia="Arial" w:cs="Arial"/>
          <w:color w:val="000000" w:themeColor="text1"/>
        </w:rPr>
      </w:pPr>
      <w:r w:rsidRPr="00C904A5">
        <w:rPr>
          <w:rFonts w:eastAsia="Arial" w:cs="Arial"/>
          <w:color w:val="000000" w:themeColor="text1"/>
        </w:rPr>
        <w:t xml:space="preserve">The capital delivery programme for 2021/22 totalled £170.563m with the programme delivering an outturn position of £164.124m, resulting in a </w:t>
      </w:r>
      <w:r w:rsidR="00750E6B">
        <w:rPr>
          <w:rFonts w:eastAsia="Arial" w:cs="Arial"/>
          <w:color w:val="000000" w:themeColor="text1"/>
        </w:rPr>
        <w:t xml:space="preserve">variance </w:t>
      </w:r>
      <w:r w:rsidRPr="00C904A5">
        <w:rPr>
          <w:rFonts w:eastAsia="Arial" w:cs="Arial"/>
          <w:color w:val="000000" w:themeColor="text1"/>
        </w:rPr>
        <w:t xml:space="preserve">against budget of £6.439m. </w:t>
      </w:r>
    </w:p>
    <w:p w14:paraId="38E94207" w14:textId="77777777" w:rsidR="00D257BA" w:rsidRPr="00C904A5" w:rsidRDefault="00D257BA" w:rsidP="72666EB5">
      <w:pPr>
        <w:tabs>
          <w:tab w:val="left" w:pos="851"/>
          <w:tab w:val="left" w:pos="1418"/>
        </w:tabs>
        <w:spacing w:after="0"/>
        <w:rPr>
          <w:rFonts w:cs="Arial"/>
        </w:rPr>
      </w:pPr>
    </w:p>
    <w:p w14:paraId="6796E33A" w14:textId="77777777" w:rsidR="00D10794" w:rsidRPr="00C904A5" w:rsidRDefault="00162F2E" w:rsidP="72666EB5">
      <w:pPr>
        <w:tabs>
          <w:tab w:val="left" w:pos="851"/>
          <w:tab w:val="left" w:pos="1418"/>
        </w:tabs>
        <w:spacing w:after="0"/>
        <w:rPr>
          <w:rFonts w:cs="Arial"/>
        </w:rPr>
      </w:pPr>
      <w:r w:rsidRPr="00C904A5">
        <w:rPr>
          <w:rFonts w:eastAsia="Arial" w:cs="Arial"/>
          <w:color w:val="000000" w:themeColor="text1"/>
        </w:rPr>
        <w:t>The variance is due to the following:</w:t>
      </w:r>
    </w:p>
    <w:p w14:paraId="22981C5C" w14:textId="77777777" w:rsidR="00D10794" w:rsidRPr="00C904A5" w:rsidRDefault="00162F2E" w:rsidP="72666EB5">
      <w:pPr>
        <w:pStyle w:val="ListParagraph"/>
        <w:numPr>
          <w:ilvl w:val="0"/>
          <w:numId w:val="68"/>
        </w:numPr>
        <w:spacing w:after="0"/>
        <w:rPr>
          <w:rFonts w:eastAsia="Segoe UI" w:cs="Arial"/>
          <w:color w:val="000000" w:themeColor="text1"/>
        </w:rPr>
      </w:pPr>
      <w:r w:rsidRPr="00C904A5">
        <w:rPr>
          <w:rFonts w:eastAsia="Segoe UI" w:cs="Arial"/>
        </w:rPr>
        <w:t>Net underspends and potential underspends</w:t>
      </w:r>
      <w:r w:rsidRPr="00C904A5">
        <w:rPr>
          <w:rFonts w:cs="Arial"/>
        </w:rPr>
        <w:tab/>
      </w:r>
      <w:r w:rsidRPr="00C904A5">
        <w:rPr>
          <w:rFonts w:cs="Arial"/>
        </w:rPr>
        <w:tab/>
      </w:r>
      <w:r w:rsidR="00EE402B">
        <w:rPr>
          <w:rFonts w:cs="Arial"/>
        </w:rPr>
        <w:t>-</w:t>
      </w:r>
      <w:r w:rsidRPr="00C904A5">
        <w:rPr>
          <w:rFonts w:eastAsia="Segoe UI" w:cs="Arial"/>
        </w:rPr>
        <w:t>£2.242m</w:t>
      </w:r>
    </w:p>
    <w:p w14:paraId="4084CBAA" w14:textId="77777777" w:rsidR="00D10794" w:rsidRPr="00C904A5" w:rsidRDefault="00162F2E" w:rsidP="72666EB5">
      <w:pPr>
        <w:pStyle w:val="ListParagraph"/>
        <w:numPr>
          <w:ilvl w:val="0"/>
          <w:numId w:val="68"/>
        </w:numPr>
        <w:spacing w:after="0"/>
        <w:rPr>
          <w:rFonts w:eastAsia="Segoe UI" w:cs="Arial"/>
          <w:color w:val="000000" w:themeColor="text1"/>
        </w:rPr>
      </w:pPr>
      <w:r w:rsidRPr="00C904A5">
        <w:rPr>
          <w:rFonts w:eastAsia="Segoe UI" w:cs="Arial"/>
        </w:rPr>
        <w:t xml:space="preserve">Net overspends and potential overspends </w:t>
      </w:r>
      <w:r w:rsidRPr="00C904A5">
        <w:rPr>
          <w:rFonts w:cs="Arial"/>
        </w:rPr>
        <w:tab/>
      </w:r>
      <w:r w:rsidRPr="00C904A5">
        <w:rPr>
          <w:rFonts w:cs="Arial"/>
        </w:rPr>
        <w:tab/>
      </w:r>
      <w:r w:rsidR="00EE402B">
        <w:rPr>
          <w:rFonts w:cs="Arial"/>
        </w:rPr>
        <w:t xml:space="preserve"> </w:t>
      </w:r>
      <w:r w:rsidRPr="00C904A5">
        <w:rPr>
          <w:rFonts w:eastAsia="Segoe UI" w:cs="Arial"/>
        </w:rPr>
        <w:t xml:space="preserve">£8.189m </w:t>
      </w:r>
    </w:p>
    <w:p w14:paraId="41861538" w14:textId="77777777" w:rsidR="00D10794" w:rsidRPr="00C904A5" w:rsidRDefault="00162F2E" w:rsidP="72666EB5">
      <w:pPr>
        <w:pStyle w:val="ListParagraph"/>
        <w:numPr>
          <w:ilvl w:val="0"/>
          <w:numId w:val="68"/>
        </w:numPr>
        <w:spacing w:after="0"/>
        <w:rPr>
          <w:rFonts w:eastAsia="Segoe UI" w:cs="Arial"/>
          <w:color w:val="000000" w:themeColor="text1"/>
        </w:rPr>
      </w:pPr>
      <w:r w:rsidRPr="00C904A5">
        <w:rPr>
          <w:rFonts w:eastAsia="Segoe UI" w:cs="Arial"/>
        </w:rPr>
        <w:t>Slipped Delivery</w:t>
      </w:r>
      <w:r w:rsidRPr="00C904A5">
        <w:rPr>
          <w:rFonts w:cs="Arial"/>
        </w:rPr>
        <w:tab/>
      </w:r>
      <w:r w:rsidRPr="00C904A5">
        <w:rPr>
          <w:rFonts w:cs="Arial"/>
        </w:rPr>
        <w:tab/>
      </w:r>
      <w:r w:rsidRPr="00C904A5">
        <w:rPr>
          <w:rFonts w:cs="Arial"/>
        </w:rPr>
        <w:tab/>
      </w:r>
      <w:r w:rsidRPr="00C904A5">
        <w:rPr>
          <w:rFonts w:cs="Arial"/>
        </w:rPr>
        <w:tab/>
      </w:r>
      <w:r w:rsidRPr="00C904A5">
        <w:rPr>
          <w:rFonts w:eastAsia="Segoe UI" w:cs="Arial"/>
        </w:rPr>
        <w:t xml:space="preserve"> </w:t>
      </w:r>
      <w:r w:rsidRPr="00C904A5">
        <w:rPr>
          <w:rFonts w:cs="Arial"/>
        </w:rPr>
        <w:tab/>
      </w:r>
      <w:r w:rsidR="00EE402B">
        <w:rPr>
          <w:rFonts w:cs="Arial"/>
        </w:rPr>
        <w:t xml:space="preserve">         -</w:t>
      </w:r>
      <w:r w:rsidRPr="00C904A5">
        <w:rPr>
          <w:rFonts w:eastAsia="Segoe UI" w:cs="Arial"/>
        </w:rPr>
        <w:t>£43.414m</w:t>
      </w:r>
    </w:p>
    <w:p w14:paraId="4FE8E4BA" w14:textId="77777777" w:rsidR="00D10794" w:rsidRPr="00D257BA" w:rsidRDefault="00162F2E" w:rsidP="72666EB5">
      <w:pPr>
        <w:pStyle w:val="ListParagraph"/>
        <w:numPr>
          <w:ilvl w:val="0"/>
          <w:numId w:val="68"/>
        </w:numPr>
        <w:spacing w:after="0"/>
        <w:rPr>
          <w:rFonts w:eastAsia="Segoe UI" w:cs="Arial"/>
          <w:color w:val="000000" w:themeColor="text1"/>
        </w:rPr>
      </w:pPr>
      <w:r w:rsidRPr="00C904A5">
        <w:rPr>
          <w:rFonts w:eastAsia="Segoe UI" w:cs="Arial"/>
        </w:rPr>
        <w:t>Additional Delivery</w:t>
      </w:r>
      <w:r w:rsidRPr="00C904A5">
        <w:rPr>
          <w:rFonts w:cs="Arial"/>
        </w:rPr>
        <w:tab/>
      </w:r>
      <w:r w:rsidRPr="00C904A5">
        <w:rPr>
          <w:rFonts w:cs="Arial"/>
        </w:rPr>
        <w:tab/>
      </w:r>
      <w:r w:rsidRPr="00C904A5">
        <w:rPr>
          <w:rFonts w:cs="Arial"/>
        </w:rPr>
        <w:tab/>
      </w:r>
      <w:r w:rsidRPr="00C904A5">
        <w:rPr>
          <w:rFonts w:cs="Arial"/>
        </w:rPr>
        <w:tab/>
      </w:r>
      <w:r w:rsidRPr="00C904A5">
        <w:rPr>
          <w:rFonts w:cs="Arial"/>
        </w:rPr>
        <w:tab/>
      </w:r>
      <w:r w:rsidRPr="00C904A5">
        <w:rPr>
          <w:rFonts w:cs="Arial"/>
        </w:rPr>
        <w:tab/>
      </w:r>
      <w:r w:rsidRPr="00C904A5">
        <w:rPr>
          <w:rFonts w:eastAsia="Segoe UI" w:cs="Arial"/>
        </w:rPr>
        <w:t>£31.028m</w:t>
      </w:r>
    </w:p>
    <w:p w14:paraId="349B962D" w14:textId="77777777" w:rsidR="00D257BA" w:rsidRPr="00C904A5" w:rsidRDefault="00D257BA" w:rsidP="00D257BA">
      <w:pPr>
        <w:pStyle w:val="ListParagraph"/>
        <w:spacing w:after="0"/>
        <w:rPr>
          <w:rFonts w:eastAsia="Segoe UI" w:cs="Arial"/>
          <w:color w:val="000000" w:themeColor="text1"/>
        </w:rPr>
      </w:pPr>
    </w:p>
    <w:p w14:paraId="4FDD17AF" w14:textId="77777777" w:rsidR="00D10794" w:rsidRDefault="00162F2E" w:rsidP="72666EB5">
      <w:pPr>
        <w:tabs>
          <w:tab w:val="left" w:pos="851"/>
          <w:tab w:val="left" w:pos="1418"/>
        </w:tabs>
        <w:spacing w:after="0"/>
        <w:rPr>
          <w:rFonts w:eastAsia="Arial" w:cs="Arial"/>
          <w:color w:val="000000" w:themeColor="text1"/>
        </w:rPr>
      </w:pPr>
      <w:r w:rsidRPr="00C904A5">
        <w:rPr>
          <w:rFonts w:eastAsia="Arial" w:cs="Arial"/>
          <w:color w:val="000000" w:themeColor="text1"/>
        </w:rPr>
        <w:t xml:space="preserve">The slipped delivery is a mixture of financial delays e.g., for retention amounts where the project is complete; delays due to changes to the work programmed and resources deployed to additional </w:t>
      </w:r>
      <w:r w:rsidR="00D257BA" w:rsidRPr="00C904A5">
        <w:rPr>
          <w:rFonts w:eastAsia="Arial" w:cs="Arial"/>
          <w:color w:val="000000" w:themeColor="text1"/>
        </w:rPr>
        <w:t>delivery and</w:t>
      </w:r>
      <w:r w:rsidRPr="00C904A5">
        <w:rPr>
          <w:rFonts w:eastAsia="Arial" w:cs="Arial"/>
          <w:color w:val="000000" w:themeColor="text1"/>
        </w:rPr>
        <w:t xml:space="preserve"> delays due to adverse conditions for the delivery.  </w:t>
      </w:r>
    </w:p>
    <w:p w14:paraId="6FE27E85" w14:textId="77777777" w:rsidR="00750E6B" w:rsidRPr="00C904A5" w:rsidRDefault="00750E6B" w:rsidP="72666EB5">
      <w:pPr>
        <w:tabs>
          <w:tab w:val="left" w:pos="851"/>
          <w:tab w:val="left" w:pos="1418"/>
        </w:tabs>
        <w:spacing w:after="0"/>
        <w:rPr>
          <w:rFonts w:cs="Arial"/>
        </w:rPr>
      </w:pPr>
    </w:p>
    <w:p w14:paraId="5F1CAE5F" w14:textId="77777777" w:rsidR="00334CDF" w:rsidRDefault="00162F2E" w:rsidP="00334CDF">
      <w:pPr>
        <w:spacing w:after="0"/>
        <w:rPr>
          <w:rFonts w:eastAsia="Times New Roman" w:cs="Arial"/>
          <w:lang w:eastAsia="en-GB"/>
        </w:rPr>
      </w:pPr>
      <w:r>
        <w:rPr>
          <w:rFonts w:eastAsia="Times New Roman" w:cs="Arial"/>
          <w:lang w:eastAsia="en-GB"/>
        </w:rPr>
        <w:t xml:space="preserve">During the first 3 months of this financial year a comprehensive review of the delivery programme for 2022/23 is being undertaken in light of the outturn position. Any proposed changes to the 2022/23 delivery programme will be reported back to Cabinet as part of the regular money matters reports. </w:t>
      </w:r>
    </w:p>
    <w:p w14:paraId="6A5A6EAA" w14:textId="77777777" w:rsidR="00334CDF" w:rsidRDefault="00334CDF" w:rsidP="72666EB5">
      <w:pPr>
        <w:spacing w:after="0"/>
        <w:rPr>
          <w:rFonts w:eastAsia="Arial" w:cs="Arial"/>
          <w:color w:val="000000" w:themeColor="text1"/>
        </w:rPr>
      </w:pPr>
    </w:p>
    <w:p w14:paraId="2A546F23" w14:textId="77777777" w:rsidR="00D10794" w:rsidRDefault="00D10794" w:rsidP="00D10794">
      <w:pPr>
        <w:spacing w:after="0"/>
        <w:rPr>
          <w:rFonts w:eastAsia="Times New Roman" w:cs="Arial"/>
          <w:highlight w:val="yellow"/>
          <w:lang w:eastAsia="en-GB"/>
        </w:rPr>
      </w:pPr>
    </w:p>
    <w:p w14:paraId="04386377" w14:textId="77777777" w:rsidR="00334CDF" w:rsidRDefault="00334CDF" w:rsidP="00D10794">
      <w:pPr>
        <w:spacing w:after="0"/>
        <w:rPr>
          <w:rFonts w:eastAsia="Times New Roman" w:cs="Arial"/>
          <w:highlight w:val="yellow"/>
          <w:lang w:eastAsia="en-GB"/>
        </w:rPr>
      </w:pPr>
    </w:p>
    <w:p w14:paraId="024C863B" w14:textId="77777777" w:rsidR="00334CDF" w:rsidRDefault="00334CDF" w:rsidP="00D10794">
      <w:pPr>
        <w:spacing w:after="0"/>
        <w:rPr>
          <w:rFonts w:eastAsia="Times New Roman" w:cs="Arial"/>
          <w:highlight w:val="yellow"/>
          <w:lang w:eastAsia="en-GB"/>
        </w:rPr>
      </w:pPr>
    </w:p>
    <w:p w14:paraId="4CC6292D" w14:textId="77777777" w:rsidR="00334CDF" w:rsidRPr="00C904A5" w:rsidRDefault="00334CDF" w:rsidP="00D10794">
      <w:pPr>
        <w:spacing w:after="0"/>
        <w:rPr>
          <w:rFonts w:eastAsia="Times New Roman" w:cs="Arial"/>
          <w:highlight w:val="yellow"/>
          <w:lang w:eastAsia="en-GB"/>
        </w:rPr>
      </w:pPr>
    </w:p>
    <w:p w14:paraId="69266F7A" w14:textId="77777777" w:rsidR="00D10794" w:rsidRPr="00C904A5" w:rsidRDefault="00162F2E" w:rsidP="100895C9">
      <w:pPr>
        <w:tabs>
          <w:tab w:val="left" w:pos="851"/>
          <w:tab w:val="left" w:pos="1418"/>
        </w:tabs>
        <w:spacing w:after="0"/>
        <w:rPr>
          <w:rFonts w:eastAsia="Times New Roman" w:cs="Arial"/>
          <w:b/>
          <w:bCs/>
          <w:lang w:eastAsia="en-GB"/>
        </w:rPr>
      </w:pPr>
      <w:r w:rsidRPr="00C904A5">
        <w:rPr>
          <w:rFonts w:eastAsia="Times New Roman" w:cs="Arial"/>
          <w:b/>
          <w:bCs/>
          <w:lang w:eastAsia="en-GB"/>
        </w:rPr>
        <w:t>Section A - The 2021/22 Revenue Budget</w:t>
      </w:r>
    </w:p>
    <w:p w14:paraId="028F7AC8" w14:textId="77777777" w:rsidR="00D10794" w:rsidRPr="00C904A5" w:rsidRDefault="00D10794" w:rsidP="100895C9">
      <w:pPr>
        <w:tabs>
          <w:tab w:val="left" w:pos="851"/>
          <w:tab w:val="left" w:pos="1418"/>
        </w:tabs>
        <w:spacing w:after="0"/>
        <w:rPr>
          <w:rFonts w:eastAsia="Times New Roman" w:cs="Arial"/>
          <w:b/>
          <w:bCs/>
          <w:u w:val="single"/>
          <w:lang w:eastAsia="en-GB"/>
        </w:rPr>
      </w:pPr>
    </w:p>
    <w:p w14:paraId="55660DDE" w14:textId="77777777" w:rsidR="00D10794" w:rsidRPr="00C904A5" w:rsidRDefault="00162F2E" w:rsidP="100895C9">
      <w:pPr>
        <w:tabs>
          <w:tab w:val="left" w:pos="851"/>
          <w:tab w:val="left" w:pos="1418"/>
        </w:tabs>
        <w:spacing w:after="0"/>
        <w:rPr>
          <w:rFonts w:eastAsia="Times New Roman" w:cs="Arial"/>
          <w:b/>
          <w:bCs/>
          <w:lang w:eastAsia="en-GB"/>
        </w:rPr>
      </w:pPr>
      <w:r w:rsidRPr="00C904A5">
        <w:rPr>
          <w:rFonts w:eastAsia="Times New Roman" w:cs="Arial"/>
          <w:b/>
          <w:bCs/>
          <w:lang w:eastAsia="en-GB"/>
        </w:rPr>
        <w:t>1. Executive Summary</w:t>
      </w:r>
    </w:p>
    <w:p w14:paraId="472ED4DE" w14:textId="77777777" w:rsidR="00D10794" w:rsidRPr="00C904A5" w:rsidRDefault="00D10794" w:rsidP="100895C9">
      <w:pPr>
        <w:tabs>
          <w:tab w:val="left" w:pos="851"/>
          <w:tab w:val="left" w:pos="1418"/>
        </w:tabs>
        <w:spacing w:after="0"/>
        <w:rPr>
          <w:rFonts w:eastAsia="Times New Roman" w:cs="Arial"/>
          <w:lang w:eastAsia="en-GB"/>
        </w:rPr>
      </w:pPr>
    </w:p>
    <w:p w14:paraId="6AA9239C" w14:textId="77777777" w:rsidR="00D10794" w:rsidRPr="00C904A5" w:rsidRDefault="00162F2E" w:rsidP="100895C9">
      <w:pPr>
        <w:tabs>
          <w:tab w:val="left" w:pos="851"/>
          <w:tab w:val="left" w:pos="1418"/>
        </w:tabs>
        <w:spacing w:after="0"/>
        <w:rPr>
          <w:rFonts w:eastAsia="Times New Roman" w:cs="Arial"/>
          <w:lang w:eastAsia="en-GB"/>
        </w:rPr>
      </w:pPr>
      <w:r w:rsidRPr="00C904A5">
        <w:rPr>
          <w:rFonts w:eastAsia="Times New Roman" w:cs="Arial"/>
          <w:lang w:eastAsia="en-GB"/>
        </w:rPr>
        <w:t xml:space="preserve">This section of the report provides an update for Cabinet on the County Council's 2021/22 revenue financial position and contains a comparison to the previously reported financial position as at Quarter 3. </w:t>
      </w:r>
    </w:p>
    <w:p w14:paraId="75C80524" w14:textId="77777777" w:rsidR="00D10794" w:rsidRPr="00C904A5" w:rsidRDefault="00D10794" w:rsidP="100895C9">
      <w:pPr>
        <w:tabs>
          <w:tab w:val="left" w:pos="851"/>
          <w:tab w:val="left" w:pos="1418"/>
        </w:tabs>
        <w:spacing w:after="0"/>
        <w:rPr>
          <w:rFonts w:eastAsia="Times New Roman" w:cs="Arial"/>
          <w:lang w:eastAsia="en-GB"/>
        </w:rPr>
      </w:pPr>
    </w:p>
    <w:p w14:paraId="157A1E62" w14:textId="77777777" w:rsidR="00D10794" w:rsidRPr="00C904A5" w:rsidRDefault="00162F2E" w:rsidP="100895C9">
      <w:pPr>
        <w:tabs>
          <w:tab w:val="left" w:pos="851"/>
          <w:tab w:val="left" w:pos="1418"/>
        </w:tabs>
        <w:spacing w:after="0"/>
        <w:rPr>
          <w:rFonts w:eastAsia="Times New Roman" w:cs="Arial"/>
          <w:lang w:eastAsia="en-GB"/>
        </w:rPr>
      </w:pPr>
      <w:r w:rsidRPr="00C904A5">
        <w:rPr>
          <w:rFonts w:eastAsia="Times New Roman" w:cs="Arial"/>
          <w:lang w:eastAsia="en-GB"/>
        </w:rPr>
        <w:t xml:space="preserve">The final revenue outturn position whilst also providing a comparison to the last reported position at Quarter 3. The final position at the end of the year is net expenditure </w:t>
      </w:r>
      <w:r w:rsidRPr="00C904A5">
        <w:rPr>
          <w:rFonts w:eastAsia="Times New Roman" w:cs="Arial"/>
          <w:color w:val="auto"/>
          <w:lang w:eastAsia="en-GB"/>
        </w:rPr>
        <w:t>of £8</w:t>
      </w:r>
      <w:r w:rsidR="00106D5C" w:rsidRPr="00C904A5">
        <w:rPr>
          <w:rFonts w:eastAsia="Times New Roman" w:cs="Arial"/>
          <w:color w:val="auto"/>
          <w:lang w:eastAsia="en-GB"/>
        </w:rPr>
        <w:t>51.490</w:t>
      </w:r>
      <w:r w:rsidRPr="00C904A5">
        <w:rPr>
          <w:rFonts w:eastAsia="Times New Roman" w:cs="Arial"/>
          <w:color w:val="auto"/>
          <w:lang w:eastAsia="en-GB"/>
        </w:rPr>
        <w:t xml:space="preserve">m, </w:t>
      </w:r>
      <w:r w:rsidRPr="00C904A5">
        <w:rPr>
          <w:rFonts w:cs="Arial"/>
        </w:rPr>
        <w:t>against and approved budget of £881.413m</w:t>
      </w:r>
      <w:r w:rsidRPr="00C904A5">
        <w:rPr>
          <w:rFonts w:eastAsia="Times New Roman" w:cs="Arial"/>
          <w:color w:val="auto"/>
          <w:lang w:eastAsia="en-GB"/>
        </w:rPr>
        <w:t xml:space="preserve">, which </w:t>
      </w:r>
      <w:r w:rsidRPr="00C904A5">
        <w:rPr>
          <w:rFonts w:eastAsia="Times New Roman" w:cs="Arial"/>
          <w:lang w:eastAsia="en-GB"/>
        </w:rPr>
        <w:t>represents an in-year underspend of £</w:t>
      </w:r>
      <w:r w:rsidR="00FE14C3" w:rsidRPr="00C904A5">
        <w:rPr>
          <w:rFonts w:eastAsia="Times New Roman" w:cs="Arial"/>
          <w:lang w:eastAsia="en-GB"/>
        </w:rPr>
        <w:t>2</w:t>
      </w:r>
      <w:r w:rsidRPr="00C904A5">
        <w:rPr>
          <w:rFonts w:eastAsia="Times New Roman" w:cs="Arial"/>
          <w:lang w:eastAsia="en-GB"/>
        </w:rPr>
        <w:t>9.</w:t>
      </w:r>
      <w:r w:rsidR="00A64795" w:rsidRPr="00C904A5">
        <w:rPr>
          <w:rFonts w:eastAsia="Times New Roman" w:cs="Arial"/>
          <w:lang w:eastAsia="en-GB"/>
        </w:rPr>
        <w:t>9</w:t>
      </w:r>
      <w:r w:rsidR="00D3188F" w:rsidRPr="00C904A5">
        <w:rPr>
          <w:rFonts w:eastAsia="Times New Roman" w:cs="Arial"/>
          <w:lang w:eastAsia="en-GB"/>
        </w:rPr>
        <w:t>23</w:t>
      </w:r>
      <w:r w:rsidRPr="00C904A5">
        <w:rPr>
          <w:rFonts w:eastAsia="Times New Roman" w:cs="Arial"/>
          <w:lang w:eastAsia="en-GB"/>
        </w:rPr>
        <w:t xml:space="preserve">m or </w:t>
      </w:r>
      <w:r w:rsidR="00A64795" w:rsidRPr="00C904A5">
        <w:rPr>
          <w:rFonts w:eastAsia="Times New Roman" w:cs="Arial"/>
          <w:lang w:eastAsia="en-GB"/>
        </w:rPr>
        <w:t>3.</w:t>
      </w:r>
      <w:r w:rsidR="00D3188F" w:rsidRPr="00C904A5">
        <w:rPr>
          <w:rFonts w:eastAsia="Times New Roman" w:cs="Arial"/>
          <w:lang w:eastAsia="en-GB"/>
        </w:rPr>
        <w:t>39</w:t>
      </w:r>
      <w:r w:rsidRPr="00C904A5">
        <w:rPr>
          <w:rFonts w:eastAsia="Times New Roman" w:cs="Arial"/>
          <w:lang w:eastAsia="en-GB"/>
        </w:rPr>
        <w:t>% of the revenue budget.</w:t>
      </w:r>
      <w:r w:rsidR="00DE3A28" w:rsidRPr="00C904A5">
        <w:rPr>
          <w:rFonts w:eastAsia="Times New Roman" w:cs="Arial"/>
          <w:lang w:eastAsia="en-GB"/>
        </w:rPr>
        <w:t xml:space="preserve">  The </w:t>
      </w:r>
      <w:r w:rsidR="008A7019" w:rsidRPr="00C904A5">
        <w:rPr>
          <w:rFonts w:eastAsia="Times New Roman" w:cs="Arial"/>
          <w:lang w:eastAsia="en-GB"/>
        </w:rPr>
        <w:t>largest contributing element to the overall underspend was the continued strong performance on Treasury Management with a surplus of £</w:t>
      </w:r>
      <w:r w:rsidR="00793402" w:rsidRPr="00C904A5">
        <w:rPr>
          <w:rFonts w:eastAsia="Times New Roman" w:cs="Arial"/>
          <w:lang w:eastAsia="en-GB"/>
        </w:rPr>
        <w:t>13</w:t>
      </w:r>
      <w:r w:rsidR="00A64795" w:rsidRPr="00C904A5">
        <w:rPr>
          <w:rFonts w:eastAsia="Times New Roman" w:cs="Arial"/>
          <w:lang w:eastAsia="en-GB"/>
        </w:rPr>
        <w:t>.5</w:t>
      </w:r>
      <w:r w:rsidR="008A7019" w:rsidRPr="00C904A5">
        <w:rPr>
          <w:rFonts w:eastAsia="Times New Roman" w:cs="Arial"/>
          <w:lang w:eastAsia="en-GB"/>
        </w:rPr>
        <w:t xml:space="preserve">m generated, but it is clear that thereafter the most significant single factor affecting both service and financial performance this year has </w:t>
      </w:r>
      <w:r w:rsidR="00A64795" w:rsidRPr="00C904A5">
        <w:rPr>
          <w:rFonts w:eastAsia="Times New Roman" w:cs="Arial"/>
          <w:lang w:eastAsia="en-GB"/>
        </w:rPr>
        <w:t xml:space="preserve">again </w:t>
      </w:r>
      <w:r w:rsidR="008A7019" w:rsidRPr="00C904A5">
        <w:rPr>
          <w:rFonts w:eastAsia="Times New Roman" w:cs="Arial"/>
          <w:lang w:eastAsia="en-GB"/>
        </w:rPr>
        <w:t xml:space="preserve">been the </w:t>
      </w:r>
      <w:r w:rsidR="00DE3A28" w:rsidRPr="00C904A5">
        <w:rPr>
          <w:rFonts w:eastAsia="Times New Roman" w:cs="Arial"/>
          <w:lang w:eastAsia="en-GB"/>
        </w:rPr>
        <w:t>pandemic</w:t>
      </w:r>
      <w:r w:rsidR="008A7019" w:rsidRPr="00C904A5">
        <w:rPr>
          <w:rFonts w:eastAsia="Times New Roman" w:cs="Arial"/>
          <w:lang w:eastAsia="en-GB"/>
        </w:rPr>
        <w:t xml:space="preserve">.  Whilst there have been a number of service areas experiencing financial pressures due to the impact of </w:t>
      </w:r>
      <w:r w:rsidR="0026517A" w:rsidRPr="00C904A5">
        <w:rPr>
          <w:rFonts w:eastAsia="Times New Roman" w:cs="Arial"/>
          <w:lang w:eastAsia="en-GB"/>
        </w:rPr>
        <w:t>Covid</w:t>
      </w:r>
      <w:r w:rsidR="00D81049" w:rsidRPr="00C904A5">
        <w:rPr>
          <w:rFonts w:eastAsia="Times New Roman" w:cs="Arial"/>
          <w:lang w:eastAsia="en-GB"/>
        </w:rPr>
        <w:t>-19</w:t>
      </w:r>
      <w:r w:rsidR="008A7019" w:rsidRPr="00C904A5">
        <w:rPr>
          <w:rFonts w:eastAsia="Times New Roman" w:cs="Arial"/>
          <w:lang w:eastAsia="en-GB"/>
        </w:rPr>
        <w:t xml:space="preserve">, there are also offsetting </w:t>
      </w:r>
      <w:r w:rsidR="008A67E6" w:rsidRPr="00C904A5">
        <w:rPr>
          <w:rFonts w:eastAsia="Times New Roman" w:cs="Arial"/>
          <w:lang w:eastAsia="en-GB"/>
        </w:rPr>
        <w:t xml:space="preserve">short-term </w:t>
      </w:r>
      <w:r w:rsidR="008A7019" w:rsidRPr="00C904A5">
        <w:rPr>
          <w:rFonts w:eastAsia="Times New Roman" w:cs="Arial"/>
          <w:lang w:eastAsia="en-GB"/>
        </w:rPr>
        <w:t>cost reductions resulting from factors including lower than anticipated demand for some services</w:t>
      </w:r>
      <w:r w:rsidR="00DE3A28" w:rsidRPr="00C904A5">
        <w:rPr>
          <w:rFonts w:eastAsia="Times New Roman" w:cs="Arial"/>
          <w:lang w:eastAsia="en-GB"/>
        </w:rPr>
        <w:t xml:space="preserve"> </w:t>
      </w:r>
      <w:r w:rsidR="008A7019" w:rsidRPr="00C904A5">
        <w:rPr>
          <w:rFonts w:eastAsia="Times New Roman" w:cs="Arial"/>
          <w:lang w:eastAsia="en-GB"/>
        </w:rPr>
        <w:t xml:space="preserve">and remote working in line with Government guidance.  </w:t>
      </w:r>
      <w:r w:rsidR="008A67E6" w:rsidRPr="00C904A5">
        <w:rPr>
          <w:rFonts w:eastAsia="Times New Roman" w:cs="Arial"/>
          <w:lang w:eastAsia="en-GB"/>
        </w:rPr>
        <w:t>We anticipate a drift back up in demand as a new normal settles pos</w:t>
      </w:r>
      <w:r w:rsidR="0026517A" w:rsidRPr="00C904A5">
        <w:rPr>
          <w:rFonts w:eastAsia="Times New Roman" w:cs="Arial"/>
          <w:lang w:eastAsia="en-GB"/>
        </w:rPr>
        <w:t>t Covid</w:t>
      </w:r>
      <w:r w:rsidR="00D81049" w:rsidRPr="00C904A5">
        <w:rPr>
          <w:rFonts w:eastAsia="Times New Roman" w:cs="Arial"/>
          <w:lang w:eastAsia="en-GB"/>
        </w:rPr>
        <w:t>-19</w:t>
      </w:r>
      <w:r w:rsidR="009D3C14" w:rsidRPr="00C904A5">
        <w:rPr>
          <w:rFonts w:eastAsia="Times New Roman" w:cs="Arial"/>
          <w:lang w:eastAsia="en-GB"/>
        </w:rPr>
        <w:t xml:space="preserve"> in 2022/23</w:t>
      </w:r>
      <w:r w:rsidR="008A67E6" w:rsidRPr="00C904A5">
        <w:rPr>
          <w:rFonts w:eastAsia="Times New Roman" w:cs="Arial"/>
          <w:lang w:eastAsia="en-GB"/>
        </w:rPr>
        <w:t xml:space="preserve">, particularly across adults and children's services. </w:t>
      </w:r>
    </w:p>
    <w:p w14:paraId="08EC4316" w14:textId="77777777" w:rsidR="00D10794" w:rsidRPr="00C904A5" w:rsidRDefault="00D10794" w:rsidP="00D10794">
      <w:pPr>
        <w:tabs>
          <w:tab w:val="left" w:pos="851"/>
          <w:tab w:val="left" w:pos="1418"/>
        </w:tabs>
        <w:spacing w:after="0"/>
        <w:rPr>
          <w:rFonts w:cs="Arial"/>
          <w:color w:val="000000" w:themeColor="text1"/>
          <w:highlight w:val="yellow"/>
          <w:lang w:eastAsia="en-GB"/>
        </w:rPr>
      </w:pPr>
    </w:p>
    <w:p w14:paraId="6AD66048" w14:textId="77777777" w:rsidR="00D10794" w:rsidRPr="00C904A5" w:rsidRDefault="00162F2E" w:rsidP="00D10794">
      <w:pPr>
        <w:tabs>
          <w:tab w:val="left" w:pos="851"/>
          <w:tab w:val="left" w:pos="1418"/>
        </w:tabs>
        <w:spacing w:after="0"/>
        <w:rPr>
          <w:rFonts w:cs="Arial"/>
          <w:highlight w:val="yellow"/>
        </w:rPr>
      </w:pPr>
      <w:r w:rsidRPr="00C904A5">
        <w:rPr>
          <w:rFonts w:cs="Arial"/>
        </w:rPr>
        <w:t xml:space="preserve">Delivery of the savings programme continues to be a key risk area and the savings plans have been subject to review as part of the budget monitoring process throughout </w:t>
      </w:r>
      <w:r w:rsidR="004F05D5" w:rsidRPr="00C904A5">
        <w:rPr>
          <w:rFonts w:cs="Arial"/>
        </w:rPr>
        <w:t>2021/22</w:t>
      </w:r>
      <w:r w:rsidRPr="00C904A5">
        <w:rPr>
          <w:rFonts w:cs="Arial"/>
        </w:rPr>
        <w:t xml:space="preserve">, however due to the </w:t>
      </w:r>
      <w:r w:rsidR="005C2430" w:rsidRPr="00C904A5">
        <w:rPr>
          <w:rFonts w:cs="Arial"/>
        </w:rPr>
        <w:t xml:space="preserve">ongoing </w:t>
      </w:r>
      <w:r w:rsidRPr="00C904A5">
        <w:rPr>
          <w:rFonts w:cs="Arial"/>
        </w:rPr>
        <w:t>pandemic</w:t>
      </w:r>
      <w:r w:rsidR="005C2430" w:rsidRPr="00C904A5">
        <w:rPr>
          <w:rFonts w:cs="Arial"/>
        </w:rPr>
        <w:t xml:space="preserve"> there have been some delays in achievement of planned savings </w:t>
      </w:r>
      <w:r w:rsidR="00334CDF">
        <w:rPr>
          <w:rFonts w:cs="Arial"/>
        </w:rPr>
        <w:t>and</w:t>
      </w:r>
      <w:r w:rsidR="00334CDF" w:rsidRPr="00C904A5">
        <w:rPr>
          <w:rFonts w:cs="Arial"/>
        </w:rPr>
        <w:t xml:space="preserve"> </w:t>
      </w:r>
      <w:r w:rsidR="005C2430" w:rsidRPr="00C904A5">
        <w:rPr>
          <w:rFonts w:cs="Arial"/>
        </w:rPr>
        <w:t xml:space="preserve">this has been offset by Covid-19 grants. </w:t>
      </w:r>
      <w:r w:rsidR="008A67E6" w:rsidRPr="00C904A5">
        <w:rPr>
          <w:rFonts w:cs="Arial"/>
        </w:rPr>
        <w:t>U</w:t>
      </w:r>
      <w:r w:rsidRPr="00C904A5">
        <w:rPr>
          <w:rFonts w:cs="Arial"/>
        </w:rPr>
        <w:t xml:space="preserve">pdates </w:t>
      </w:r>
      <w:r w:rsidR="008A67E6" w:rsidRPr="00C904A5">
        <w:rPr>
          <w:rFonts w:cs="Arial"/>
        </w:rPr>
        <w:t xml:space="preserve">will </w:t>
      </w:r>
      <w:r w:rsidR="00BD0290" w:rsidRPr="00C904A5">
        <w:rPr>
          <w:rFonts w:cs="Arial"/>
        </w:rPr>
        <w:t xml:space="preserve">continue to </w:t>
      </w:r>
      <w:r w:rsidR="008A67E6" w:rsidRPr="00C904A5">
        <w:rPr>
          <w:rFonts w:cs="Arial"/>
        </w:rPr>
        <w:t xml:space="preserve">be </w:t>
      </w:r>
      <w:r w:rsidRPr="00C904A5">
        <w:rPr>
          <w:rFonts w:cs="Arial"/>
        </w:rPr>
        <w:t xml:space="preserve">provided to Cabinet through the money matters reports on a quarterly basis. </w:t>
      </w:r>
    </w:p>
    <w:p w14:paraId="3D389A53" w14:textId="77777777" w:rsidR="00D10794" w:rsidRPr="00C904A5" w:rsidRDefault="00D10794" w:rsidP="00D10794">
      <w:pPr>
        <w:tabs>
          <w:tab w:val="left" w:pos="851"/>
          <w:tab w:val="left" w:pos="1418"/>
        </w:tabs>
        <w:spacing w:after="0"/>
        <w:rPr>
          <w:rFonts w:cs="Arial"/>
          <w:highlight w:val="yellow"/>
        </w:rPr>
      </w:pPr>
    </w:p>
    <w:p w14:paraId="3F8538D8" w14:textId="77777777" w:rsidR="00D10794" w:rsidRPr="00C904A5" w:rsidRDefault="00162F2E" w:rsidP="00D10794">
      <w:pPr>
        <w:tabs>
          <w:tab w:val="left" w:pos="851"/>
          <w:tab w:val="left" w:pos="1418"/>
        </w:tabs>
        <w:spacing w:after="0"/>
        <w:rPr>
          <w:rFonts w:cs="Arial"/>
        </w:rPr>
      </w:pPr>
      <w:r w:rsidRPr="00C904A5">
        <w:rPr>
          <w:rFonts w:cs="Arial"/>
        </w:rPr>
        <w:t xml:space="preserve">The impact of </w:t>
      </w:r>
      <w:r w:rsidR="008A67E6" w:rsidRPr="00C904A5">
        <w:rPr>
          <w:rFonts w:cs="Arial"/>
        </w:rPr>
        <w:t xml:space="preserve">the pandemic has introduced greater uncertainty on both our future costs, given anticipated increasing demand, and funding levels with </w:t>
      </w:r>
      <w:r w:rsidR="00AE205A">
        <w:rPr>
          <w:rFonts w:cs="Arial"/>
        </w:rPr>
        <w:t xml:space="preserve">uncertainty increasing as to the likelioood of </w:t>
      </w:r>
      <w:r w:rsidR="008A67E6" w:rsidRPr="00C904A5">
        <w:rPr>
          <w:rFonts w:cs="Arial"/>
        </w:rPr>
        <w:t>a longer-term financial settlement</w:t>
      </w:r>
      <w:r w:rsidR="00AE205A">
        <w:rPr>
          <w:rFonts w:cs="Arial"/>
        </w:rPr>
        <w:t xml:space="preserve"> for local government during </w:t>
      </w:r>
      <w:r w:rsidR="008A67E6" w:rsidRPr="00C904A5">
        <w:rPr>
          <w:rFonts w:cs="Arial"/>
        </w:rPr>
        <w:t>202</w:t>
      </w:r>
      <w:r w:rsidR="00352FB8">
        <w:rPr>
          <w:rFonts w:cs="Arial"/>
        </w:rPr>
        <w:t>2</w:t>
      </w:r>
      <w:r w:rsidR="008A67E6" w:rsidRPr="00C904A5">
        <w:rPr>
          <w:rFonts w:cs="Arial"/>
        </w:rPr>
        <w:t>/2</w:t>
      </w:r>
      <w:r w:rsidR="00352FB8">
        <w:rPr>
          <w:rFonts w:cs="Arial"/>
        </w:rPr>
        <w:t>3</w:t>
      </w:r>
      <w:r w:rsidR="008A67E6" w:rsidRPr="00C904A5">
        <w:rPr>
          <w:rFonts w:cs="Arial"/>
        </w:rPr>
        <w:t xml:space="preserve">.  </w:t>
      </w:r>
      <w:r w:rsidRPr="00C904A5">
        <w:rPr>
          <w:rFonts w:cs="Arial"/>
        </w:rPr>
        <w:t>We will continue to monitor the impacts via our regular monitoring activity updating our forecast outturn and the MTFS as information and guidance changes. We will report this via CMT and in the regular Money Matters updates.</w:t>
      </w:r>
    </w:p>
    <w:p w14:paraId="74E29660" w14:textId="77777777" w:rsidR="00D10794" w:rsidRPr="00C904A5" w:rsidRDefault="00D10794" w:rsidP="00D10794">
      <w:pPr>
        <w:tabs>
          <w:tab w:val="left" w:pos="851"/>
          <w:tab w:val="left" w:pos="1418"/>
        </w:tabs>
        <w:spacing w:after="0"/>
        <w:rPr>
          <w:rFonts w:cs="Arial"/>
          <w:highlight w:val="yellow"/>
        </w:rPr>
      </w:pPr>
    </w:p>
    <w:p w14:paraId="33AFCDE6" w14:textId="77777777" w:rsidR="00D10794" w:rsidRPr="00C904A5" w:rsidRDefault="00162F2E" w:rsidP="00D10794">
      <w:pPr>
        <w:tabs>
          <w:tab w:val="left" w:pos="851"/>
          <w:tab w:val="left" w:pos="1418"/>
        </w:tabs>
        <w:spacing w:after="0"/>
        <w:rPr>
          <w:rFonts w:cs="Arial"/>
          <w:highlight w:val="yellow"/>
        </w:rPr>
      </w:pPr>
      <w:r w:rsidRPr="00C904A5">
        <w:rPr>
          <w:rFonts w:cs="Arial"/>
          <w:highlight w:val="yellow"/>
        </w:rPr>
        <w:br w:type="page"/>
      </w:r>
    </w:p>
    <w:p w14:paraId="7A7AAF1E" w14:textId="77777777" w:rsidR="00D10794" w:rsidRPr="00C904A5" w:rsidRDefault="00162F2E" w:rsidP="100895C9">
      <w:pPr>
        <w:spacing w:after="0"/>
        <w:rPr>
          <w:rFonts w:cs="Arial"/>
          <w:b/>
          <w:bCs/>
        </w:rPr>
      </w:pPr>
      <w:r w:rsidRPr="00C904A5">
        <w:rPr>
          <w:rFonts w:cs="Arial"/>
          <w:b/>
          <w:bCs/>
        </w:rPr>
        <w:lastRenderedPageBreak/>
        <w:t>2. Revenue Budget Outturn 2021/22 Summary Table</w:t>
      </w:r>
    </w:p>
    <w:p w14:paraId="4F9D0570" w14:textId="77777777" w:rsidR="009B49B0" w:rsidRPr="00C904A5" w:rsidRDefault="009B49B0" w:rsidP="100895C9">
      <w:pPr>
        <w:spacing w:after="0"/>
        <w:rPr>
          <w:rFonts w:cs="Arial"/>
          <w:b/>
          <w:bCs/>
        </w:rPr>
      </w:pPr>
    </w:p>
    <w:p w14:paraId="55E6771F" w14:textId="77777777" w:rsidR="009B49B0" w:rsidRPr="00C904A5" w:rsidRDefault="009B49B0" w:rsidP="100895C9">
      <w:pPr>
        <w:spacing w:after="0"/>
        <w:rPr>
          <w:rFonts w:cs="Arial"/>
          <w:b/>
          <w:bCs/>
        </w:rPr>
      </w:pPr>
    </w:p>
    <w:p w14:paraId="0574CD83" w14:textId="77777777" w:rsidR="00D10794" w:rsidRPr="00812801" w:rsidRDefault="00162F2E" w:rsidP="00D10794">
      <w:pPr>
        <w:spacing w:after="0"/>
        <w:rPr>
          <w:b/>
          <w:highlight w:val="yellow"/>
        </w:rPr>
      </w:pPr>
      <w:r w:rsidRPr="009B49B0">
        <w:rPr>
          <w:noProof/>
        </w:rPr>
        <w:drawing>
          <wp:inline distT="0" distB="0" distL="0" distR="0" wp14:anchorId="3F6442B1" wp14:editId="045F5127">
            <wp:extent cx="5786755" cy="39064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007233"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824883" cy="3932195"/>
                    </a:xfrm>
                    <a:prstGeom prst="rect">
                      <a:avLst/>
                    </a:prstGeom>
                    <a:noFill/>
                    <a:ln>
                      <a:noFill/>
                    </a:ln>
                  </pic:spPr>
                </pic:pic>
              </a:graphicData>
            </a:graphic>
          </wp:inline>
        </w:drawing>
      </w:r>
    </w:p>
    <w:p w14:paraId="6CFCC79F" w14:textId="77777777" w:rsidR="00D10794" w:rsidRPr="00812801" w:rsidRDefault="00D10794" w:rsidP="100895C9">
      <w:pPr>
        <w:spacing w:after="0"/>
        <w:rPr>
          <w:rFonts w:cs="Arial"/>
        </w:rPr>
      </w:pPr>
    </w:p>
    <w:p w14:paraId="3882FEF8" w14:textId="77777777" w:rsidR="00D10794" w:rsidRPr="00812801" w:rsidRDefault="00162F2E" w:rsidP="00D10794">
      <w:pPr>
        <w:spacing w:after="0"/>
        <w:rPr>
          <w:rFonts w:cs="Arial"/>
        </w:rPr>
      </w:pPr>
      <w:r w:rsidRPr="100895C9">
        <w:rPr>
          <w:rFonts w:cs="Arial"/>
        </w:rPr>
        <w:t xml:space="preserve">The </w:t>
      </w:r>
      <w:r w:rsidR="008A67E6" w:rsidRPr="100895C9">
        <w:rPr>
          <w:rFonts w:cs="Arial"/>
        </w:rPr>
        <w:t xml:space="preserve">above table details the breakdown across services of the </w:t>
      </w:r>
      <w:r w:rsidRPr="100895C9">
        <w:rPr>
          <w:rFonts w:cs="Arial"/>
        </w:rPr>
        <w:t>final outturn position for 2021/22</w:t>
      </w:r>
      <w:r w:rsidR="00EF3BE0" w:rsidRPr="100895C9">
        <w:rPr>
          <w:rFonts w:cs="Arial"/>
        </w:rPr>
        <w:t xml:space="preserve">. </w:t>
      </w:r>
      <w:r w:rsidRPr="00CC001D">
        <w:rPr>
          <w:rFonts w:cs="Arial"/>
        </w:rPr>
        <w:t>The underspend has increased by £</w:t>
      </w:r>
      <w:r w:rsidR="00CC001D" w:rsidRPr="00CC001D">
        <w:rPr>
          <w:rFonts w:cs="Arial"/>
        </w:rPr>
        <w:t>6.468</w:t>
      </w:r>
      <w:r w:rsidRPr="00CC001D">
        <w:rPr>
          <w:rFonts w:cs="Arial"/>
        </w:rPr>
        <w:t>m compared to the position reported to Cabinet as at quarter 3</w:t>
      </w:r>
      <w:r w:rsidR="004765CA" w:rsidRPr="00CC001D">
        <w:rPr>
          <w:rFonts w:cs="Arial"/>
        </w:rPr>
        <w:t xml:space="preserve"> but is in line with the forecast</w:t>
      </w:r>
      <w:r w:rsidR="004765CA">
        <w:rPr>
          <w:rFonts w:cs="Arial"/>
        </w:rPr>
        <w:t xml:space="preserve"> included within the 2022/23 budget report</w:t>
      </w:r>
      <w:r w:rsidR="00CC001D">
        <w:rPr>
          <w:rFonts w:cs="Arial"/>
        </w:rPr>
        <w:t xml:space="preserve"> in February 2022</w:t>
      </w:r>
      <w:r w:rsidR="004765CA">
        <w:rPr>
          <w:rFonts w:cs="Arial"/>
        </w:rPr>
        <w:t>.</w:t>
      </w:r>
    </w:p>
    <w:p w14:paraId="147C52A1" w14:textId="77777777" w:rsidR="00D10794" w:rsidRPr="00812801" w:rsidRDefault="00D10794" w:rsidP="00D10794">
      <w:pPr>
        <w:spacing w:after="0"/>
        <w:rPr>
          <w:rFonts w:cs="Arial"/>
          <w:highlight w:val="yellow"/>
        </w:rPr>
      </w:pPr>
    </w:p>
    <w:p w14:paraId="007A9880" w14:textId="77777777" w:rsidR="00D10794" w:rsidRPr="00812801" w:rsidRDefault="00162F2E" w:rsidP="00D10794">
      <w:pPr>
        <w:spacing w:after="0"/>
        <w:rPr>
          <w:rFonts w:cs="Arial"/>
        </w:rPr>
      </w:pPr>
      <w:r w:rsidRPr="4A5CCA70">
        <w:rPr>
          <w:rFonts w:cs="Arial"/>
        </w:rPr>
        <w:t>The most significant areas of change compared to the forecast presented to Cabinet at Quarter 3 are:</w:t>
      </w:r>
    </w:p>
    <w:p w14:paraId="7A3907D7" w14:textId="77777777" w:rsidR="00D10794" w:rsidRPr="00812801" w:rsidRDefault="00D10794" w:rsidP="00D10794">
      <w:pPr>
        <w:spacing w:after="0"/>
        <w:rPr>
          <w:rFonts w:cs="Arial"/>
          <w:highlight w:val="yellow"/>
        </w:rPr>
      </w:pPr>
    </w:p>
    <w:p w14:paraId="78EEBCC9" w14:textId="77777777" w:rsidR="003F152D" w:rsidRPr="00582796" w:rsidRDefault="00162F2E" w:rsidP="00D10794">
      <w:pPr>
        <w:pStyle w:val="ListParagraph"/>
        <w:numPr>
          <w:ilvl w:val="0"/>
          <w:numId w:val="25"/>
        </w:numPr>
        <w:spacing w:after="0"/>
        <w:rPr>
          <w:rFonts w:cs="Arial"/>
        </w:rPr>
      </w:pPr>
      <w:r w:rsidRPr="00582796">
        <w:rPr>
          <w:rFonts w:cs="Arial"/>
        </w:rPr>
        <w:t xml:space="preserve">Additional income received </w:t>
      </w:r>
      <w:r w:rsidR="00D71B6C" w:rsidRPr="00582796">
        <w:rPr>
          <w:rFonts w:cs="Arial"/>
        </w:rPr>
        <w:t xml:space="preserve">to contain the </w:t>
      </w:r>
      <w:r w:rsidR="0026517A">
        <w:rPr>
          <w:rFonts w:cs="Arial"/>
        </w:rPr>
        <w:t>Covid-</w:t>
      </w:r>
      <w:r w:rsidR="00D71B6C" w:rsidRPr="00582796">
        <w:rPr>
          <w:rFonts w:cs="Arial"/>
        </w:rPr>
        <w:t xml:space="preserve">19 outbreak being utilised </w:t>
      </w:r>
    </w:p>
    <w:p w14:paraId="79CD7628" w14:textId="77777777" w:rsidR="003F152D" w:rsidRPr="00582796" w:rsidRDefault="003F152D" w:rsidP="003F152D">
      <w:pPr>
        <w:pStyle w:val="ListParagraph"/>
        <w:spacing w:after="0"/>
        <w:rPr>
          <w:rFonts w:cs="Arial"/>
        </w:rPr>
      </w:pPr>
    </w:p>
    <w:p w14:paraId="5A3AE892" w14:textId="77777777" w:rsidR="00D10794" w:rsidRPr="00352FB8" w:rsidRDefault="00162F2E" w:rsidP="00AD64C7">
      <w:pPr>
        <w:pStyle w:val="ListParagraph"/>
        <w:numPr>
          <w:ilvl w:val="0"/>
          <w:numId w:val="25"/>
        </w:numPr>
        <w:spacing w:after="0"/>
        <w:rPr>
          <w:rFonts w:cs="Arial"/>
        </w:rPr>
      </w:pPr>
      <w:r w:rsidRPr="00582796">
        <w:rPr>
          <w:rFonts w:cs="Arial"/>
        </w:rPr>
        <w:t xml:space="preserve">Reduction in </w:t>
      </w:r>
      <w:r w:rsidR="00BE50F1" w:rsidRPr="00582796">
        <w:rPr>
          <w:rFonts w:cs="Arial"/>
        </w:rPr>
        <w:t xml:space="preserve">the year end calculation on </w:t>
      </w:r>
      <w:r w:rsidRPr="00582796">
        <w:rPr>
          <w:rFonts w:cs="Arial"/>
        </w:rPr>
        <w:t>bad debt provision.</w:t>
      </w:r>
    </w:p>
    <w:p w14:paraId="20F9159D" w14:textId="77777777" w:rsidR="00D10794" w:rsidRPr="00E35D48" w:rsidRDefault="00D10794" w:rsidP="00D10794">
      <w:pPr>
        <w:pStyle w:val="ListParagraph"/>
        <w:rPr>
          <w:rFonts w:cs="Arial"/>
        </w:rPr>
      </w:pPr>
    </w:p>
    <w:p w14:paraId="0EBEE315" w14:textId="77777777" w:rsidR="00D10794" w:rsidRDefault="00162F2E" w:rsidP="72666EB5">
      <w:pPr>
        <w:pStyle w:val="ListParagraph"/>
        <w:numPr>
          <w:ilvl w:val="0"/>
          <w:numId w:val="25"/>
        </w:numPr>
        <w:spacing w:after="0" w:line="259" w:lineRule="auto"/>
        <w:rPr>
          <w:rFonts w:eastAsia="Arial" w:cs="Arial"/>
          <w:color w:val="000000" w:themeColor="text1"/>
        </w:rPr>
      </w:pPr>
      <w:r w:rsidRPr="0CFBF26B">
        <w:rPr>
          <w:rFonts w:cs="Arial"/>
        </w:rPr>
        <w:t xml:space="preserve">Increased </w:t>
      </w:r>
      <w:r w:rsidR="72666EB5" w:rsidRPr="0CFBF26B">
        <w:rPr>
          <w:rFonts w:cs="Arial"/>
        </w:rPr>
        <w:t xml:space="preserve">income regarding </w:t>
      </w:r>
      <w:r w:rsidR="00A61583">
        <w:rPr>
          <w:rFonts w:cs="Arial"/>
        </w:rPr>
        <w:t xml:space="preserve">contributions from Health on </w:t>
      </w:r>
      <w:r w:rsidR="72666EB5" w:rsidRPr="0CFBF26B">
        <w:rPr>
          <w:rFonts w:cs="Arial"/>
        </w:rPr>
        <w:t xml:space="preserve">complex care </w:t>
      </w:r>
      <w:r w:rsidR="00A61583">
        <w:rPr>
          <w:rFonts w:cs="Arial"/>
        </w:rPr>
        <w:t>packages</w:t>
      </w:r>
      <w:r w:rsidR="00A61583" w:rsidRPr="0CFBF26B">
        <w:rPr>
          <w:rFonts w:cs="Arial"/>
        </w:rPr>
        <w:t xml:space="preserve"> </w:t>
      </w:r>
      <w:r w:rsidR="00A61583">
        <w:rPr>
          <w:rFonts w:cs="Arial"/>
        </w:rPr>
        <w:t>a</w:t>
      </w:r>
      <w:r w:rsidR="72666EB5" w:rsidRPr="0CFBF26B">
        <w:rPr>
          <w:rFonts w:cs="Arial"/>
        </w:rPr>
        <w:t>long with higher than anticipated clawbacks of Direct Payments linked to the pandemic.</w:t>
      </w:r>
    </w:p>
    <w:p w14:paraId="4C1A5533" w14:textId="77777777" w:rsidR="00D10794" w:rsidRPr="00E35D48" w:rsidRDefault="00D10794" w:rsidP="00D10794">
      <w:pPr>
        <w:spacing w:after="0"/>
        <w:rPr>
          <w:rFonts w:cs="Arial"/>
        </w:rPr>
      </w:pPr>
    </w:p>
    <w:p w14:paraId="294364B0" w14:textId="77777777" w:rsidR="00D10794" w:rsidRPr="00812801" w:rsidRDefault="00D10794" w:rsidP="00D10794">
      <w:pPr>
        <w:pStyle w:val="ListParagraph"/>
        <w:autoSpaceDE/>
        <w:autoSpaceDN/>
        <w:adjustRightInd/>
        <w:spacing w:after="0"/>
        <w:jc w:val="left"/>
        <w:rPr>
          <w:highlight w:val="yellow"/>
        </w:rPr>
      </w:pPr>
    </w:p>
    <w:p w14:paraId="197A81A4" w14:textId="77777777" w:rsidR="00D10794" w:rsidRPr="00812801" w:rsidRDefault="00D10794" w:rsidP="00D10794">
      <w:pPr>
        <w:pStyle w:val="ListParagraph"/>
        <w:autoSpaceDE/>
        <w:autoSpaceDN/>
        <w:adjustRightInd/>
        <w:spacing w:after="0"/>
        <w:jc w:val="left"/>
        <w:rPr>
          <w:highlight w:val="yellow"/>
        </w:rPr>
      </w:pPr>
    </w:p>
    <w:p w14:paraId="0BCC31EB" w14:textId="77777777" w:rsidR="00D10794" w:rsidRPr="00812801" w:rsidRDefault="00D10794" w:rsidP="00D10794">
      <w:pPr>
        <w:pStyle w:val="ListParagraph"/>
        <w:autoSpaceDE/>
        <w:autoSpaceDN/>
        <w:adjustRightInd/>
        <w:spacing w:after="0"/>
        <w:jc w:val="left"/>
        <w:rPr>
          <w:highlight w:val="yellow"/>
        </w:rPr>
      </w:pPr>
    </w:p>
    <w:p w14:paraId="33A3C6D5" w14:textId="77777777" w:rsidR="00D10794" w:rsidRPr="00812801" w:rsidRDefault="00D10794" w:rsidP="00D10794">
      <w:pPr>
        <w:pStyle w:val="ListParagraph"/>
        <w:autoSpaceDE/>
        <w:autoSpaceDN/>
        <w:adjustRightInd/>
        <w:spacing w:after="0"/>
        <w:jc w:val="left"/>
        <w:rPr>
          <w:highlight w:val="yellow"/>
        </w:rPr>
      </w:pPr>
    </w:p>
    <w:p w14:paraId="2D0FB7A4" w14:textId="77777777" w:rsidR="00D10794" w:rsidRPr="00812801" w:rsidRDefault="00D10794" w:rsidP="00D10794">
      <w:pPr>
        <w:pStyle w:val="ListParagraph"/>
        <w:autoSpaceDE/>
        <w:autoSpaceDN/>
        <w:adjustRightInd/>
        <w:spacing w:after="0"/>
        <w:jc w:val="left"/>
        <w:rPr>
          <w:highlight w:val="yellow"/>
        </w:rPr>
      </w:pPr>
    </w:p>
    <w:p w14:paraId="4F04D563" w14:textId="77777777" w:rsidR="00D10794" w:rsidRPr="00812801" w:rsidRDefault="00D10794" w:rsidP="00D10794">
      <w:pPr>
        <w:pStyle w:val="ListParagraph"/>
        <w:autoSpaceDE/>
        <w:autoSpaceDN/>
        <w:adjustRightInd/>
        <w:spacing w:after="0"/>
        <w:jc w:val="left"/>
        <w:rPr>
          <w:highlight w:val="yellow"/>
        </w:rPr>
      </w:pPr>
    </w:p>
    <w:p w14:paraId="077B0365" w14:textId="77777777" w:rsidR="00D10794" w:rsidRPr="00812801" w:rsidRDefault="00D10794" w:rsidP="00D10794">
      <w:pPr>
        <w:pStyle w:val="ListParagraph"/>
        <w:autoSpaceDE/>
        <w:autoSpaceDN/>
        <w:adjustRightInd/>
        <w:spacing w:after="0"/>
        <w:jc w:val="left"/>
        <w:rPr>
          <w:highlight w:val="yellow"/>
        </w:rPr>
      </w:pPr>
    </w:p>
    <w:p w14:paraId="153DF7A9" w14:textId="77777777" w:rsidR="00D10794" w:rsidRPr="00812801" w:rsidRDefault="00D10794" w:rsidP="00D10794">
      <w:pPr>
        <w:pStyle w:val="ListParagraph"/>
        <w:autoSpaceDE/>
        <w:autoSpaceDN/>
        <w:adjustRightInd/>
        <w:spacing w:after="0"/>
        <w:jc w:val="left"/>
        <w:rPr>
          <w:highlight w:val="yellow"/>
        </w:rPr>
      </w:pPr>
    </w:p>
    <w:p w14:paraId="0552CA31" w14:textId="77777777" w:rsidR="00D10794" w:rsidRPr="00812801" w:rsidRDefault="00D10794" w:rsidP="00D10794">
      <w:pPr>
        <w:pStyle w:val="ListParagraph"/>
        <w:autoSpaceDE/>
        <w:autoSpaceDN/>
        <w:adjustRightInd/>
        <w:spacing w:after="0"/>
        <w:jc w:val="left"/>
        <w:rPr>
          <w:highlight w:val="yellow"/>
        </w:rPr>
      </w:pPr>
    </w:p>
    <w:p w14:paraId="54236B54" w14:textId="77777777" w:rsidR="00D10794" w:rsidRPr="007272D0" w:rsidRDefault="00162F2E" w:rsidP="00D10794">
      <w:pPr>
        <w:autoSpaceDE/>
        <w:autoSpaceDN/>
        <w:adjustRightInd/>
        <w:spacing w:after="0"/>
      </w:pPr>
      <w:r w:rsidRPr="00E35D48">
        <w:lastRenderedPageBreak/>
        <w:t>The graph below shows how the variances have developed over quarterly Cabinet reporting during the financial year:</w:t>
      </w:r>
    </w:p>
    <w:p w14:paraId="6DD951D3" w14:textId="77777777" w:rsidR="00D10794" w:rsidRPr="0025456F" w:rsidRDefault="00D10794" w:rsidP="00D10794">
      <w:pPr>
        <w:autoSpaceDE/>
        <w:autoSpaceDN/>
        <w:adjustRightInd/>
        <w:spacing w:after="0"/>
      </w:pPr>
    </w:p>
    <w:p w14:paraId="45250376" w14:textId="77777777" w:rsidR="00D10794" w:rsidRPr="00812801" w:rsidRDefault="00162F2E" w:rsidP="00E35D48">
      <w:pPr>
        <w:spacing w:after="0"/>
        <w:ind w:left="-709" w:firstLine="709"/>
        <w:jc w:val="center"/>
        <w:rPr>
          <w:rFonts w:cs="Arial"/>
          <w:b/>
          <w:highlight w:val="yellow"/>
          <w:u w:val="single"/>
        </w:rPr>
      </w:pPr>
      <w:r>
        <w:rPr>
          <w:noProof/>
        </w:rPr>
        <w:drawing>
          <wp:inline distT="0" distB="0" distL="0" distR="0" wp14:anchorId="57B8F845" wp14:editId="6E194442">
            <wp:extent cx="4972051" cy="3028950"/>
            <wp:effectExtent l="0" t="0" r="0" b="0"/>
            <wp:docPr id="4" name="Chart 4">
              <a:extLst xmlns:a="http://schemas.openxmlformats.org/drawingml/2006/main">
                <a:ext uri="{FF2B5EF4-FFF2-40B4-BE49-F238E27FC236}">
                  <a16:creationId xmlns:a16="http://schemas.microsoft.com/office/drawing/2014/main" id="{81FDB44A-2189-42C7-9172-A9C61B7DE6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02B0CA" w14:textId="77777777" w:rsidR="00DA3AB7" w:rsidRDefault="00DA3AB7" w:rsidP="00D10794">
      <w:pPr>
        <w:spacing w:after="0"/>
        <w:ind w:left="-709" w:firstLine="709"/>
        <w:jc w:val="left"/>
        <w:rPr>
          <w:rFonts w:cs="Arial"/>
          <w:b/>
          <w:highlight w:val="yellow"/>
          <w:u w:val="single"/>
        </w:rPr>
      </w:pPr>
    </w:p>
    <w:p w14:paraId="5A4516F0" w14:textId="77777777" w:rsidR="00DA3AB7" w:rsidRDefault="00DA3AB7" w:rsidP="00D10794">
      <w:pPr>
        <w:spacing w:after="0"/>
        <w:ind w:left="-709" w:firstLine="709"/>
        <w:jc w:val="left"/>
        <w:rPr>
          <w:rFonts w:cs="Arial"/>
          <w:b/>
          <w:highlight w:val="yellow"/>
          <w:u w:val="single"/>
        </w:rPr>
      </w:pPr>
    </w:p>
    <w:p w14:paraId="278DE20F" w14:textId="77777777" w:rsidR="00DA3AB7" w:rsidRDefault="00DA3AB7" w:rsidP="00D10794">
      <w:pPr>
        <w:spacing w:after="0"/>
        <w:ind w:left="-709" w:firstLine="709"/>
        <w:jc w:val="left"/>
        <w:rPr>
          <w:rFonts w:cs="Arial"/>
          <w:b/>
          <w:highlight w:val="yellow"/>
          <w:u w:val="single"/>
        </w:rPr>
      </w:pPr>
    </w:p>
    <w:p w14:paraId="0926305F" w14:textId="77777777" w:rsidR="00DA3AB7" w:rsidRDefault="00DA3AB7" w:rsidP="00D10794">
      <w:pPr>
        <w:spacing w:after="0"/>
        <w:ind w:left="-709" w:firstLine="709"/>
        <w:jc w:val="left"/>
        <w:rPr>
          <w:rFonts w:cs="Arial"/>
          <w:b/>
          <w:highlight w:val="yellow"/>
          <w:u w:val="single"/>
        </w:rPr>
      </w:pPr>
    </w:p>
    <w:p w14:paraId="191A549A" w14:textId="77777777" w:rsidR="00DA3AB7" w:rsidRDefault="00DA3AB7" w:rsidP="00D10794">
      <w:pPr>
        <w:spacing w:after="0"/>
        <w:ind w:left="-709" w:firstLine="709"/>
        <w:jc w:val="left"/>
        <w:rPr>
          <w:rFonts w:cs="Arial"/>
          <w:b/>
          <w:highlight w:val="yellow"/>
          <w:u w:val="single"/>
        </w:rPr>
      </w:pPr>
    </w:p>
    <w:p w14:paraId="222C523E" w14:textId="77777777" w:rsidR="00DA3AB7" w:rsidRDefault="00DA3AB7" w:rsidP="00D10794">
      <w:pPr>
        <w:spacing w:after="0"/>
        <w:ind w:left="-709" w:firstLine="709"/>
        <w:jc w:val="left"/>
        <w:rPr>
          <w:rFonts w:cs="Arial"/>
          <w:b/>
          <w:highlight w:val="yellow"/>
          <w:u w:val="single"/>
        </w:rPr>
      </w:pPr>
    </w:p>
    <w:p w14:paraId="195BD424" w14:textId="77777777" w:rsidR="00DA3AB7" w:rsidRDefault="00DA3AB7" w:rsidP="00D10794">
      <w:pPr>
        <w:spacing w:after="0"/>
        <w:ind w:left="-709" w:firstLine="709"/>
        <w:jc w:val="left"/>
        <w:rPr>
          <w:rFonts w:cs="Arial"/>
          <w:b/>
          <w:highlight w:val="yellow"/>
          <w:u w:val="single"/>
        </w:rPr>
      </w:pPr>
    </w:p>
    <w:p w14:paraId="72E624B8" w14:textId="77777777" w:rsidR="00DA3AB7" w:rsidRDefault="00DA3AB7" w:rsidP="00D10794">
      <w:pPr>
        <w:spacing w:after="0"/>
        <w:ind w:left="-709" w:firstLine="709"/>
        <w:jc w:val="left"/>
        <w:rPr>
          <w:rFonts w:cs="Arial"/>
          <w:b/>
          <w:highlight w:val="yellow"/>
          <w:u w:val="single"/>
        </w:rPr>
      </w:pPr>
    </w:p>
    <w:p w14:paraId="021B972A" w14:textId="77777777" w:rsidR="00DA3AB7" w:rsidRDefault="00DA3AB7" w:rsidP="00D10794">
      <w:pPr>
        <w:spacing w:after="0"/>
        <w:ind w:left="-709" w:firstLine="709"/>
        <w:jc w:val="left"/>
        <w:rPr>
          <w:rFonts w:cs="Arial"/>
          <w:b/>
          <w:highlight w:val="yellow"/>
          <w:u w:val="single"/>
        </w:rPr>
      </w:pPr>
    </w:p>
    <w:p w14:paraId="7782E485" w14:textId="77777777" w:rsidR="00DA3AB7" w:rsidRDefault="00DA3AB7" w:rsidP="00D10794">
      <w:pPr>
        <w:spacing w:after="0"/>
        <w:ind w:left="-709" w:firstLine="709"/>
        <w:jc w:val="left"/>
        <w:rPr>
          <w:rFonts w:cs="Arial"/>
          <w:b/>
          <w:highlight w:val="yellow"/>
          <w:u w:val="single"/>
        </w:rPr>
      </w:pPr>
    </w:p>
    <w:p w14:paraId="7385C058" w14:textId="77777777" w:rsidR="00DA3AB7" w:rsidRDefault="00DA3AB7" w:rsidP="00D10794">
      <w:pPr>
        <w:spacing w:after="0"/>
        <w:ind w:left="-709" w:firstLine="709"/>
        <w:jc w:val="left"/>
        <w:rPr>
          <w:rFonts w:cs="Arial"/>
          <w:b/>
          <w:highlight w:val="yellow"/>
          <w:u w:val="single"/>
        </w:rPr>
      </w:pPr>
    </w:p>
    <w:p w14:paraId="6D30F4D0" w14:textId="77777777" w:rsidR="00DA3AB7" w:rsidRDefault="00DA3AB7" w:rsidP="00D10794">
      <w:pPr>
        <w:spacing w:after="0"/>
        <w:ind w:left="-709" w:firstLine="709"/>
        <w:jc w:val="left"/>
        <w:rPr>
          <w:rFonts w:cs="Arial"/>
          <w:b/>
          <w:highlight w:val="yellow"/>
          <w:u w:val="single"/>
        </w:rPr>
      </w:pPr>
    </w:p>
    <w:p w14:paraId="0A2CD1B7" w14:textId="77777777" w:rsidR="00DA3AB7" w:rsidRDefault="00DA3AB7" w:rsidP="00D10794">
      <w:pPr>
        <w:spacing w:after="0"/>
        <w:ind w:left="-709" w:firstLine="709"/>
        <w:jc w:val="left"/>
        <w:rPr>
          <w:rFonts w:cs="Arial"/>
          <w:b/>
          <w:highlight w:val="yellow"/>
          <w:u w:val="single"/>
        </w:rPr>
      </w:pPr>
    </w:p>
    <w:p w14:paraId="74762096" w14:textId="77777777" w:rsidR="00DA3AB7" w:rsidRDefault="00DA3AB7" w:rsidP="00D10794">
      <w:pPr>
        <w:spacing w:after="0"/>
        <w:ind w:left="-709" w:firstLine="709"/>
        <w:jc w:val="left"/>
        <w:rPr>
          <w:rFonts w:cs="Arial"/>
          <w:b/>
          <w:highlight w:val="yellow"/>
          <w:u w:val="single"/>
        </w:rPr>
      </w:pPr>
    </w:p>
    <w:p w14:paraId="72CD02CA" w14:textId="77777777" w:rsidR="00DA3AB7" w:rsidRDefault="00DA3AB7" w:rsidP="00D10794">
      <w:pPr>
        <w:spacing w:after="0"/>
        <w:ind w:left="-709" w:firstLine="709"/>
        <w:jc w:val="left"/>
        <w:rPr>
          <w:rFonts w:cs="Arial"/>
          <w:b/>
          <w:highlight w:val="yellow"/>
          <w:u w:val="single"/>
        </w:rPr>
      </w:pPr>
    </w:p>
    <w:p w14:paraId="3DF0F997" w14:textId="77777777" w:rsidR="00DA3AB7" w:rsidRDefault="00DA3AB7" w:rsidP="00D10794">
      <w:pPr>
        <w:spacing w:after="0"/>
        <w:ind w:left="-709" w:firstLine="709"/>
        <w:jc w:val="left"/>
        <w:rPr>
          <w:rFonts w:cs="Arial"/>
          <w:b/>
          <w:highlight w:val="yellow"/>
          <w:u w:val="single"/>
        </w:rPr>
      </w:pPr>
    </w:p>
    <w:p w14:paraId="60A3F995" w14:textId="77777777" w:rsidR="00DA3AB7" w:rsidRDefault="00DA3AB7" w:rsidP="00D10794">
      <w:pPr>
        <w:spacing w:after="0"/>
        <w:ind w:left="-709" w:firstLine="709"/>
        <w:jc w:val="left"/>
        <w:rPr>
          <w:rFonts w:cs="Arial"/>
          <w:b/>
          <w:highlight w:val="yellow"/>
          <w:u w:val="single"/>
        </w:rPr>
      </w:pPr>
    </w:p>
    <w:p w14:paraId="0DAAC045" w14:textId="77777777" w:rsidR="00DA3AB7" w:rsidRDefault="00DA3AB7" w:rsidP="00D10794">
      <w:pPr>
        <w:spacing w:after="0"/>
        <w:ind w:left="-709" w:firstLine="709"/>
        <w:jc w:val="left"/>
        <w:rPr>
          <w:rFonts w:cs="Arial"/>
          <w:b/>
          <w:highlight w:val="yellow"/>
          <w:u w:val="single"/>
        </w:rPr>
      </w:pPr>
    </w:p>
    <w:p w14:paraId="6A9EC332" w14:textId="77777777" w:rsidR="00DA3AB7" w:rsidRDefault="00DA3AB7" w:rsidP="00D10794">
      <w:pPr>
        <w:spacing w:after="0"/>
        <w:ind w:left="-709" w:firstLine="709"/>
        <w:jc w:val="left"/>
        <w:rPr>
          <w:rFonts w:cs="Arial"/>
          <w:b/>
          <w:highlight w:val="yellow"/>
          <w:u w:val="single"/>
        </w:rPr>
      </w:pPr>
    </w:p>
    <w:p w14:paraId="67B354D7" w14:textId="77777777" w:rsidR="00DA3AB7" w:rsidRDefault="00DA3AB7" w:rsidP="00D10794">
      <w:pPr>
        <w:spacing w:after="0"/>
        <w:ind w:left="-709" w:firstLine="709"/>
        <w:jc w:val="left"/>
        <w:rPr>
          <w:rFonts w:cs="Arial"/>
          <w:b/>
          <w:highlight w:val="yellow"/>
          <w:u w:val="single"/>
        </w:rPr>
      </w:pPr>
    </w:p>
    <w:p w14:paraId="65CAA9B9" w14:textId="77777777" w:rsidR="00DA3AB7" w:rsidRDefault="00DA3AB7" w:rsidP="00D10794">
      <w:pPr>
        <w:spacing w:after="0"/>
        <w:ind w:left="-709" w:firstLine="709"/>
        <w:jc w:val="left"/>
        <w:rPr>
          <w:rFonts w:cs="Arial"/>
          <w:b/>
          <w:highlight w:val="yellow"/>
          <w:u w:val="single"/>
        </w:rPr>
      </w:pPr>
    </w:p>
    <w:p w14:paraId="2ADE1472" w14:textId="77777777" w:rsidR="00DA3AB7" w:rsidRDefault="00DA3AB7" w:rsidP="00D10794">
      <w:pPr>
        <w:spacing w:after="0"/>
        <w:ind w:left="-709" w:firstLine="709"/>
        <w:jc w:val="left"/>
        <w:rPr>
          <w:rFonts w:cs="Arial"/>
          <w:b/>
          <w:highlight w:val="yellow"/>
          <w:u w:val="single"/>
        </w:rPr>
      </w:pPr>
    </w:p>
    <w:p w14:paraId="24C32505" w14:textId="77777777" w:rsidR="00DA3AB7" w:rsidRDefault="00DA3AB7" w:rsidP="00D10794">
      <w:pPr>
        <w:spacing w:after="0"/>
        <w:ind w:left="-709" w:firstLine="709"/>
        <w:jc w:val="left"/>
        <w:rPr>
          <w:rFonts w:cs="Arial"/>
          <w:b/>
          <w:highlight w:val="yellow"/>
          <w:u w:val="single"/>
        </w:rPr>
      </w:pPr>
    </w:p>
    <w:p w14:paraId="6D6FEEDB" w14:textId="77777777" w:rsidR="00D563EB" w:rsidRDefault="00D563EB" w:rsidP="00D10794">
      <w:pPr>
        <w:spacing w:after="0"/>
        <w:ind w:left="-709" w:firstLine="709"/>
        <w:jc w:val="left"/>
        <w:rPr>
          <w:rFonts w:cs="Arial"/>
          <w:b/>
          <w:highlight w:val="yellow"/>
          <w:u w:val="single"/>
        </w:rPr>
      </w:pPr>
    </w:p>
    <w:p w14:paraId="7A2B30AE" w14:textId="77777777" w:rsidR="00D563EB" w:rsidRDefault="00D563EB" w:rsidP="00D10794">
      <w:pPr>
        <w:spacing w:after="0"/>
        <w:ind w:left="-709" w:firstLine="709"/>
        <w:jc w:val="left"/>
        <w:rPr>
          <w:rFonts w:cs="Arial"/>
          <w:b/>
          <w:highlight w:val="yellow"/>
          <w:u w:val="single"/>
        </w:rPr>
      </w:pPr>
    </w:p>
    <w:p w14:paraId="65F77D6B" w14:textId="77777777" w:rsidR="00DA3AB7" w:rsidRDefault="00DA3AB7" w:rsidP="00D10794">
      <w:pPr>
        <w:spacing w:after="0"/>
        <w:ind w:left="-709" w:firstLine="709"/>
        <w:jc w:val="left"/>
        <w:rPr>
          <w:rFonts w:cs="Arial"/>
          <w:b/>
          <w:highlight w:val="yellow"/>
          <w:u w:val="single"/>
        </w:rPr>
      </w:pPr>
    </w:p>
    <w:p w14:paraId="62935599" w14:textId="77777777" w:rsidR="00DA3AB7" w:rsidRDefault="00DA3AB7" w:rsidP="00D10794">
      <w:pPr>
        <w:spacing w:after="0"/>
        <w:ind w:left="-709" w:firstLine="709"/>
        <w:jc w:val="left"/>
        <w:rPr>
          <w:rFonts w:cs="Arial"/>
          <w:b/>
          <w:highlight w:val="yellow"/>
          <w:u w:val="single"/>
        </w:rPr>
      </w:pPr>
    </w:p>
    <w:p w14:paraId="4947C5B8" w14:textId="77777777" w:rsidR="00DA3AB7" w:rsidRDefault="00DA3AB7" w:rsidP="00D10794">
      <w:pPr>
        <w:spacing w:after="0"/>
        <w:ind w:left="-709" w:firstLine="709"/>
        <w:jc w:val="left"/>
        <w:rPr>
          <w:rFonts w:cs="Arial"/>
          <w:b/>
          <w:highlight w:val="yellow"/>
          <w:u w:val="single"/>
        </w:rPr>
      </w:pPr>
    </w:p>
    <w:p w14:paraId="6178F657" w14:textId="77777777" w:rsidR="00DA3AB7" w:rsidRDefault="00DA3AB7" w:rsidP="00D10794">
      <w:pPr>
        <w:spacing w:after="0"/>
        <w:ind w:left="-709" w:firstLine="709"/>
        <w:jc w:val="left"/>
        <w:rPr>
          <w:rFonts w:cs="Arial"/>
          <w:b/>
          <w:highlight w:val="yellow"/>
          <w:u w:val="single"/>
        </w:rPr>
      </w:pPr>
    </w:p>
    <w:p w14:paraId="788F40EB" w14:textId="77777777" w:rsidR="00AD64C7" w:rsidRDefault="00AD64C7" w:rsidP="00D10794">
      <w:pPr>
        <w:spacing w:after="0"/>
        <w:ind w:left="-709" w:firstLine="709"/>
        <w:jc w:val="left"/>
        <w:rPr>
          <w:rFonts w:cs="Arial"/>
          <w:b/>
          <w:highlight w:val="yellow"/>
          <w:u w:val="single"/>
        </w:rPr>
      </w:pPr>
    </w:p>
    <w:p w14:paraId="2ABA64FE" w14:textId="77777777" w:rsidR="00AD64C7" w:rsidRDefault="00AD64C7" w:rsidP="00D10794">
      <w:pPr>
        <w:spacing w:after="0"/>
        <w:ind w:left="-709" w:firstLine="709"/>
        <w:jc w:val="left"/>
        <w:rPr>
          <w:rFonts w:cs="Arial"/>
          <w:b/>
          <w:highlight w:val="yellow"/>
          <w:u w:val="single"/>
        </w:rPr>
      </w:pPr>
    </w:p>
    <w:p w14:paraId="4BC13439" w14:textId="77777777" w:rsidR="00A61583" w:rsidRPr="00812801" w:rsidRDefault="00A61583" w:rsidP="00D10794">
      <w:pPr>
        <w:spacing w:after="0"/>
        <w:ind w:left="-709" w:firstLine="709"/>
        <w:jc w:val="left"/>
        <w:rPr>
          <w:rFonts w:cs="Arial"/>
          <w:b/>
          <w:highlight w:val="yellow"/>
          <w:u w:val="single"/>
        </w:rPr>
      </w:pPr>
    </w:p>
    <w:p w14:paraId="4DFD4147" w14:textId="77777777" w:rsidR="00D10794" w:rsidRPr="00812801" w:rsidRDefault="00162F2E" w:rsidP="00D10794">
      <w:pPr>
        <w:spacing w:after="0"/>
        <w:rPr>
          <w:rFonts w:eastAsia="Times New Roman" w:cs="Arial"/>
          <w:b/>
          <w:lang w:eastAsia="en-GB"/>
        </w:rPr>
      </w:pPr>
      <w:r w:rsidRPr="4A5CCA70">
        <w:rPr>
          <w:rFonts w:eastAsia="Times New Roman" w:cs="Arial"/>
          <w:b/>
          <w:lang w:eastAsia="en-GB"/>
        </w:rPr>
        <w:lastRenderedPageBreak/>
        <w:t>3.</w:t>
      </w:r>
      <w:r>
        <w:tab/>
      </w:r>
      <w:r w:rsidRPr="4A5CCA70">
        <w:rPr>
          <w:rFonts w:eastAsia="Times New Roman" w:cs="Arial"/>
          <w:b/>
          <w:lang w:eastAsia="en-GB"/>
        </w:rPr>
        <w:t>Revenue Budget Outturn Detailed Analysis</w:t>
      </w:r>
    </w:p>
    <w:p w14:paraId="07BE2114" w14:textId="77777777" w:rsidR="00D10794" w:rsidRPr="00812801" w:rsidRDefault="00D10794" w:rsidP="00D10794">
      <w:pPr>
        <w:spacing w:after="0"/>
        <w:rPr>
          <w:rFonts w:cs="Arial"/>
          <w:b/>
          <w:highlight w:val="yellow"/>
          <w:u w:val="single"/>
        </w:rPr>
      </w:pPr>
    </w:p>
    <w:p w14:paraId="2407BF67" w14:textId="77777777" w:rsidR="00D10794" w:rsidRDefault="00162F2E" w:rsidP="00D10794">
      <w:pPr>
        <w:spacing w:after="0"/>
        <w:rPr>
          <w:rFonts w:eastAsia="Times New Roman" w:cs="Arial"/>
          <w:b/>
          <w:lang w:eastAsia="en-GB"/>
        </w:rPr>
      </w:pPr>
      <w:bookmarkStart w:id="0" w:name="_Hlk72931599"/>
      <w:r w:rsidRPr="4A5CCA70">
        <w:rPr>
          <w:rFonts w:eastAsia="Times New Roman" w:cs="Arial"/>
          <w:b/>
          <w:lang w:eastAsia="en-GB"/>
        </w:rPr>
        <w:t>3.1</w:t>
      </w:r>
      <w:r>
        <w:tab/>
      </w:r>
      <w:r w:rsidRPr="4A5CCA70">
        <w:rPr>
          <w:rFonts w:eastAsia="Times New Roman" w:cs="Arial"/>
          <w:b/>
          <w:lang w:eastAsia="en-GB"/>
        </w:rPr>
        <w:t xml:space="preserve">Adult Services </w:t>
      </w:r>
    </w:p>
    <w:p w14:paraId="5846A2AA" w14:textId="77777777" w:rsidR="00064548" w:rsidRDefault="00064548" w:rsidP="00D10794">
      <w:pPr>
        <w:spacing w:after="0"/>
        <w:rPr>
          <w:rFonts w:eastAsia="Times New Roman" w:cs="Arial"/>
          <w:b/>
          <w:lang w:eastAsia="en-GB"/>
        </w:rPr>
      </w:pPr>
    </w:p>
    <w:tbl>
      <w:tblPr>
        <w:tblW w:w="9316" w:type="dxa"/>
        <w:tblInd w:w="-3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5"/>
        <w:gridCol w:w="949"/>
        <w:gridCol w:w="1312"/>
        <w:gridCol w:w="1459"/>
        <w:gridCol w:w="1157"/>
        <w:gridCol w:w="1371"/>
        <w:gridCol w:w="1193"/>
        <w:gridCol w:w="50"/>
      </w:tblGrid>
      <w:tr w:rsidR="006E5B54" w14:paraId="38D1D648" w14:textId="77777777" w:rsidTr="002643B4">
        <w:trPr>
          <w:gridAfter w:val="1"/>
          <w:wAfter w:w="50" w:type="dxa"/>
          <w:trHeight w:val="990"/>
        </w:trPr>
        <w:tc>
          <w:tcPr>
            <w:tcW w:w="1825" w:type="dxa"/>
            <w:tcBorders>
              <w:top w:val="single" w:sz="6" w:space="0" w:color="auto"/>
              <w:left w:val="single" w:sz="6" w:space="0" w:color="auto"/>
              <w:bottom w:val="nil"/>
              <w:right w:val="single" w:sz="6" w:space="0" w:color="auto"/>
            </w:tcBorders>
            <w:shd w:val="clear" w:color="auto" w:fill="D9D9D9"/>
            <w:vAlign w:val="center"/>
            <w:hideMark/>
          </w:tcPr>
          <w:p w14:paraId="28DB4234"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FF0000"/>
                <w:sz w:val="20"/>
                <w:szCs w:val="20"/>
                <w:lang w:eastAsia="en-GB"/>
              </w:rPr>
              <w:t> </w:t>
            </w:r>
            <w:r w:rsidRPr="00064548">
              <w:rPr>
                <w:rFonts w:eastAsia="Times New Roman" w:cs="Arial"/>
                <w:color w:val="FF0000"/>
                <w:sz w:val="20"/>
                <w:szCs w:val="20"/>
                <w:lang w:eastAsia="en-GB"/>
              </w:rPr>
              <w:t> </w:t>
            </w:r>
          </w:p>
        </w:tc>
        <w:tc>
          <w:tcPr>
            <w:tcW w:w="949" w:type="dxa"/>
            <w:tcBorders>
              <w:top w:val="single" w:sz="6" w:space="0" w:color="auto"/>
              <w:left w:val="single" w:sz="6" w:space="0" w:color="auto"/>
              <w:bottom w:val="nil"/>
              <w:right w:val="single" w:sz="6" w:space="0" w:color="auto"/>
            </w:tcBorders>
            <w:shd w:val="clear" w:color="auto" w:fill="D9D9D9"/>
            <w:vAlign w:val="center"/>
            <w:hideMark/>
          </w:tcPr>
          <w:p w14:paraId="7E8794B0"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Approved Net Budget </w:t>
            </w:r>
            <w:r w:rsidRPr="00064548">
              <w:rPr>
                <w:rFonts w:eastAsia="Times New Roman" w:cs="Arial"/>
                <w:color w:val="auto"/>
                <w:sz w:val="20"/>
                <w:szCs w:val="20"/>
                <w:lang w:eastAsia="en-GB"/>
              </w:rPr>
              <w:t> </w:t>
            </w:r>
          </w:p>
        </w:tc>
        <w:tc>
          <w:tcPr>
            <w:tcW w:w="1312" w:type="dxa"/>
            <w:tcBorders>
              <w:top w:val="single" w:sz="6" w:space="0" w:color="auto"/>
              <w:left w:val="nil"/>
              <w:bottom w:val="nil"/>
              <w:right w:val="single" w:sz="6" w:space="0" w:color="auto"/>
            </w:tcBorders>
            <w:shd w:val="clear" w:color="auto" w:fill="D9D9D9"/>
            <w:vAlign w:val="center"/>
            <w:hideMark/>
          </w:tcPr>
          <w:p w14:paraId="32600EF0"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Outturn Net Expenditure </w:t>
            </w:r>
            <w:r w:rsidRPr="00064548">
              <w:rPr>
                <w:rFonts w:eastAsia="Times New Roman" w:cs="Arial"/>
                <w:color w:val="auto"/>
                <w:sz w:val="20"/>
                <w:szCs w:val="20"/>
                <w:lang w:eastAsia="en-GB"/>
              </w:rPr>
              <w:t> </w:t>
            </w:r>
          </w:p>
        </w:tc>
        <w:tc>
          <w:tcPr>
            <w:tcW w:w="1459" w:type="dxa"/>
            <w:tcBorders>
              <w:top w:val="single" w:sz="6" w:space="0" w:color="auto"/>
              <w:left w:val="nil"/>
              <w:bottom w:val="nil"/>
              <w:right w:val="single" w:sz="6" w:space="0" w:color="auto"/>
            </w:tcBorders>
            <w:shd w:val="clear" w:color="auto" w:fill="D9D9D9"/>
            <w:vAlign w:val="center"/>
            <w:hideMark/>
          </w:tcPr>
          <w:p w14:paraId="2A29CF5A" w14:textId="77777777" w:rsidR="00064548" w:rsidRPr="00064548" w:rsidRDefault="00162F2E" w:rsidP="00064548">
            <w:pPr>
              <w:shd w:val="clear" w:color="auto" w:fill="D9D9D9"/>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Outturn Overspend/</w:t>
            </w:r>
            <w:r w:rsidRPr="00064548">
              <w:rPr>
                <w:rFonts w:eastAsia="Times New Roman" w:cs="Arial"/>
                <w:color w:val="auto"/>
                <w:sz w:val="20"/>
                <w:szCs w:val="20"/>
                <w:lang w:eastAsia="en-GB"/>
              </w:rPr>
              <w:t> </w:t>
            </w:r>
          </w:p>
          <w:p w14:paraId="21047216" w14:textId="77777777" w:rsidR="00064548" w:rsidRPr="00064548" w:rsidRDefault="00162F2E" w:rsidP="00064548">
            <w:pPr>
              <w:shd w:val="clear" w:color="auto" w:fill="D9D9D9"/>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(Underspend) </w:t>
            </w:r>
            <w:r w:rsidRPr="00064548">
              <w:rPr>
                <w:rFonts w:eastAsia="Times New Roman" w:cs="Arial"/>
                <w:color w:val="auto"/>
                <w:sz w:val="20"/>
                <w:szCs w:val="20"/>
                <w:lang w:eastAsia="en-GB"/>
              </w:rPr>
              <w:t> </w:t>
            </w:r>
          </w:p>
        </w:tc>
        <w:tc>
          <w:tcPr>
            <w:tcW w:w="1157" w:type="dxa"/>
            <w:tcBorders>
              <w:top w:val="single" w:sz="6" w:space="0" w:color="auto"/>
              <w:left w:val="nil"/>
              <w:bottom w:val="nil"/>
              <w:right w:val="single" w:sz="6" w:space="0" w:color="auto"/>
            </w:tcBorders>
            <w:shd w:val="clear" w:color="auto" w:fill="D9D9D9"/>
            <w:vAlign w:val="center"/>
            <w:hideMark/>
          </w:tcPr>
          <w:p w14:paraId="429966EC"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 Outturn Variance</w:t>
            </w:r>
            <w:r w:rsidRPr="00064548">
              <w:rPr>
                <w:rFonts w:eastAsia="Times New Roman" w:cs="Arial"/>
                <w:color w:val="auto"/>
                <w:sz w:val="20"/>
                <w:szCs w:val="20"/>
                <w:lang w:eastAsia="en-GB"/>
              </w:rPr>
              <w:t> </w:t>
            </w:r>
          </w:p>
        </w:tc>
        <w:tc>
          <w:tcPr>
            <w:tcW w:w="1371" w:type="dxa"/>
            <w:tcBorders>
              <w:top w:val="single" w:sz="6" w:space="0" w:color="auto"/>
              <w:left w:val="nil"/>
              <w:bottom w:val="nil"/>
              <w:right w:val="single" w:sz="6" w:space="0" w:color="auto"/>
            </w:tcBorders>
            <w:shd w:val="clear" w:color="auto" w:fill="D9D9D9"/>
            <w:vAlign w:val="center"/>
            <w:hideMark/>
          </w:tcPr>
          <w:p w14:paraId="120E36AA" w14:textId="77777777" w:rsidR="00064548" w:rsidRPr="00064548" w:rsidRDefault="00162F2E" w:rsidP="00064548">
            <w:pPr>
              <w:shd w:val="clear" w:color="auto" w:fill="D9D9D9"/>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Quarter 3 Overspend/</w:t>
            </w:r>
            <w:r w:rsidRPr="00064548">
              <w:rPr>
                <w:rFonts w:eastAsia="Times New Roman" w:cs="Arial"/>
                <w:color w:val="auto"/>
                <w:sz w:val="20"/>
                <w:szCs w:val="20"/>
                <w:lang w:eastAsia="en-GB"/>
              </w:rPr>
              <w:t> </w:t>
            </w:r>
          </w:p>
          <w:p w14:paraId="4653E3CF"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(Underspend)</w:t>
            </w:r>
            <w:r w:rsidRPr="00064548">
              <w:rPr>
                <w:rFonts w:eastAsia="Times New Roman" w:cs="Arial"/>
                <w:color w:val="auto"/>
                <w:sz w:val="20"/>
                <w:szCs w:val="20"/>
                <w:lang w:eastAsia="en-GB"/>
              </w:rPr>
              <w:t> </w:t>
            </w:r>
          </w:p>
        </w:tc>
        <w:tc>
          <w:tcPr>
            <w:tcW w:w="1193" w:type="dxa"/>
            <w:tcBorders>
              <w:top w:val="single" w:sz="6" w:space="0" w:color="auto"/>
              <w:left w:val="single" w:sz="6" w:space="0" w:color="auto"/>
              <w:bottom w:val="nil"/>
              <w:right w:val="single" w:sz="6" w:space="0" w:color="auto"/>
            </w:tcBorders>
            <w:shd w:val="clear" w:color="auto" w:fill="D9D9D9"/>
            <w:vAlign w:val="center"/>
            <w:hideMark/>
          </w:tcPr>
          <w:p w14:paraId="1B57640D"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Movement</w:t>
            </w:r>
            <w:r w:rsidRPr="00064548">
              <w:rPr>
                <w:rFonts w:eastAsia="Times New Roman" w:cs="Arial"/>
                <w:color w:val="auto"/>
                <w:sz w:val="20"/>
                <w:szCs w:val="20"/>
                <w:lang w:eastAsia="en-GB"/>
              </w:rPr>
              <w:t> </w:t>
            </w:r>
            <w:r w:rsidRPr="00064548">
              <w:rPr>
                <w:rFonts w:eastAsia="Times New Roman" w:cs="Arial"/>
                <w:color w:val="auto"/>
                <w:sz w:val="20"/>
                <w:szCs w:val="20"/>
                <w:lang w:eastAsia="en-GB"/>
              </w:rPr>
              <w:br/>
            </w:r>
            <w:r w:rsidRPr="00064548">
              <w:rPr>
                <w:rFonts w:eastAsia="Times New Roman" w:cs="Arial"/>
                <w:b/>
                <w:bCs/>
                <w:color w:val="auto"/>
                <w:sz w:val="20"/>
                <w:szCs w:val="20"/>
                <w:lang w:eastAsia="en-GB"/>
              </w:rPr>
              <w:t xml:space="preserve">Q3 to </w:t>
            </w:r>
            <w:r w:rsidR="00BE25B2">
              <w:rPr>
                <w:rFonts w:eastAsia="Times New Roman" w:cs="Arial"/>
                <w:b/>
                <w:bCs/>
                <w:color w:val="auto"/>
                <w:sz w:val="20"/>
                <w:szCs w:val="20"/>
                <w:lang w:eastAsia="en-GB"/>
              </w:rPr>
              <w:t xml:space="preserve">Outturn </w:t>
            </w:r>
            <w:r w:rsidRPr="00064548">
              <w:rPr>
                <w:rFonts w:eastAsia="Times New Roman" w:cs="Arial"/>
                <w:color w:val="auto"/>
                <w:sz w:val="20"/>
                <w:szCs w:val="20"/>
                <w:lang w:eastAsia="en-GB"/>
              </w:rPr>
              <w:t> </w:t>
            </w:r>
          </w:p>
          <w:p w14:paraId="02A61720"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 </w:t>
            </w:r>
          </w:p>
        </w:tc>
      </w:tr>
      <w:tr w:rsidR="006E5B54" w14:paraId="7278665F" w14:textId="77777777" w:rsidTr="002643B4">
        <w:trPr>
          <w:gridAfter w:val="1"/>
          <w:wAfter w:w="50" w:type="dxa"/>
          <w:trHeight w:val="285"/>
        </w:trPr>
        <w:tc>
          <w:tcPr>
            <w:tcW w:w="1825" w:type="dxa"/>
            <w:tcBorders>
              <w:top w:val="nil"/>
              <w:left w:val="single" w:sz="6" w:space="0" w:color="auto"/>
              <w:bottom w:val="single" w:sz="6" w:space="0" w:color="auto"/>
              <w:right w:val="single" w:sz="6" w:space="0" w:color="auto"/>
            </w:tcBorders>
            <w:shd w:val="clear" w:color="auto" w:fill="D9D9D9"/>
            <w:vAlign w:val="center"/>
            <w:hideMark/>
          </w:tcPr>
          <w:p w14:paraId="65164FB7"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FF0000"/>
                <w:sz w:val="20"/>
                <w:szCs w:val="20"/>
                <w:lang w:eastAsia="en-GB"/>
              </w:rPr>
              <w:t> </w:t>
            </w:r>
            <w:r w:rsidRPr="00064548">
              <w:rPr>
                <w:rFonts w:eastAsia="Times New Roman" w:cs="Arial"/>
                <w:color w:val="FF0000"/>
                <w:sz w:val="20"/>
                <w:szCs w:val="20"/>
                <w:lang w:eastAsia="en-GB"/>
              </w:rPr>
              <w:t> </w:t>
            </w:r>
          </w:p>
        </w:tc>
        <w:tc>
          <w:tcPr>
            <w:tcW w:w="949" w:type="dxa"/>
            <w:tcBorders>
              <w:top w:val="nil"/>
              <w:left w:val="nil"/>
              <w:bottom w:val="single" w:sz="6" w:space="0" w:color="auto"/>
              <w:right w:val="single" w:sz="6" w:space="0" w:color="auto"/>
            </w:tcBorders>
            <w:shd w:val="clear" w:color="auto" w:fill="D9D9D9"/>
            <w:vAlign w:val="center"/>
            <w:hideMark/>
          </w:tcPr>
          <w:p w14:paraId="23FCFBDE"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w:t>
            </w:r>
            <w:r w:rsidRPr="00064548">
              <w:rPr>
                <w:rFonts w:eastAsia="Times New Roman" w:cs="Arial"/>
                <w:color w:val="auto"/>
                <w:sz w:val="20"/>
                <w:szCs w:val="20"/>
                <w:lang w:eastAsia="en-GB"/>
              </w:rPr>
              <w:t> </w:t>
            </w:r>
          </w:p>
        </w:tc>
        <w:tc>
          <w:tcPr>
            <w:tcW w:w="1312" w:type="dxa"/>
            <w:tcBorders>
              <w:top w:val="nil"/>
              <w:left w:val="nil"/>
              <w:bottom w:val="single" w:sz="6" w:space="0" w:color="auto"/>
              <w:right w:val="single" w:sz="6" w:space="0" w:color="auto"/>
            </w:tcBorders>
            <w:shd w:val="clear" w:color="auto" w:fill="D9D9D9"/>
            <w:vAlign w:val="center"/>
            <w:hideMark/>
          </w:tcPr>
          <w:p w14:paraId="3B574C10"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w:t>
            </w:r>
            <w:r w:rsidRPr="00064548">
              <w:rPr>
                <w:rFonts w:eastAsia="Times New Roman" w:cs="Arial"/>
                <w:color w:val="auto"/>
                <w:sz w:val="20"/>
                <w:szCs w:val="20"/>
                <w:lang w:eastAsia="en-GB"/>
              </w:rPr>
              <w:t> </w:t>
            </w:r>
          </w:p>
        </w:tc>
        <w:tc>
          <w:tcPr>
            <w:tcW w:w="1459" w:type="dxa"/>
            <w:tcBorders>
              <w:top w:val="nil"/>
              <w:left w:val="nil"/>
              <w:bottom w:val="single" w:sz="6" w:space="0" w:color="auto"/>
              <w:right w:val="single" w:sz="6" w:space="0" w:color="auto"/>
            </w:tcBorders>
            <w:shd w:val="clear" w:color="auto" w:fill="D9D9D9"/>
            <w:vAlign w:val="center"/>
            <w:hideMark/>
          </w:tcPr>
          <w:p w14:paraId="1F0DE88B"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w:t>
            </w:r>
            <w:r w:rsidRPr="00064548">
              <w:rPr>
                <w:rFonts w:eastAsia="Times New Roman" w:cs="Arial"/>
                <w:color w:val="auto"/>
                <w:sz w:val="20"/>
                <w:szCs w:val="20"/>
                <w:lang w:eastAsia="en-GB"/>
              </w:rPr>
              <w:t> </w:t>
            </w:r>
          </w:p>
        </w:tc>
        <w:tc>
          <w:tcPr>
            <w:tcW w:w="1157" w:type="dxa"/>
            <w:tcBorders>
              <w:top w:val="nil"/>
              <w:left w:val="nil"/>
              <w:bottom w:val="single" w:sz="6" w:space="0" w:color="auto"/>
              <w:right w:val="single" w:sz="6" w:space="0" w:color="auto"/>
            </w:tcBorders>
            <w:shd w:val="clear" w:color="auto" w:fill="D9D9D9"/>
            <w:vAlign w:val="center"/>
            <w:hideMark/>
          </w:tcPr>
          <w:p w14:paraId="739ED118"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w:t>
            </w:r>
            <w:r w:rsidRPr="00064548">
              <w:rPr>
                <w:rFonts w:eastAsia="Times New Roman" w:cs="Arial"/>
                <w:color w:val="auto"/>
                <w:sz w:val="20"/>
                <w:szCs w:val="20"/>
                <w:lang w:eastAsia="en-GB"/>
              </w:rPr>
              <w:t> </w:t>
            </w:r>
          </w:p>
        </w:tc>
        <w:tc>
          <w:tcPr>
            <w:tcW w:w="1371" w:type="dxa"/>
            <w:tcBorders>
              <w:top w:val="nil"/>
              <w:left w:val="nil"/>
              <w:bottom w:val="single" w:sz="6" w:space="0" w:color="auto"/>
              <w:right w:val="single" w:sz="6" w:space="0" w:color="auto"/>
            </w:tcBorders>
            <w:shd w:val="clear" w:color="auto" w:fill="D9D9D9"/>
            <w:vAlign w:val="center"/>
            <w:hideMark/>
          </w:tcPr>
          <w:p w14:paraId="2EC87331"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w:t>
            </w:r>
            <w:r w:rsidRPr="00064548">
              <w:rPr>
                <w:rFonts w:eastAsia="Times New Roman" w:cs="Arial"/>
                <w:color w:val="auto"/>
                <w:sz w:val="20"/>
                <w:szCs w:val="20"/>
                <w:lang w:eastAsia="en-GB"/>
              </w:rPr>
              <w:t> </w:t>
            </w:r>
          </w:p>
        </w:tc>
        <w:tc>
          <w:tcPr>
            <w:tcW w:w="1193" w:type="dxa"/>
            <w:tcBorders>
              <w:top w:val="nil"/>
              <w:left w:val="nil"/>
              <w:bottom w:val="single" w:sz="6" w:space="0" w:color="auto"/>
              <w:right w:val="single" w:sz="6" w:space="0" w:color="auto"/>
            </w:tcBorders>
            <w:shd w:val="clear" w:color="auto" w:fill="D9D9D9"/>
            <w:vAlign w:val="center"/>
            <w:hideMark/>
          </w:tcPr>
          <w:p w14:paraId="5AF7E0D0" w14:textId="77777777" w:rsidR="00064548" w:rsidRPr="00064548" w:rsidRDefault="00162F2E" w:rsidP="00064548">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w:t>
            </w:r>
            <w:r w:rsidRPr="00064548">
              <w:rPr>
                <w:rFonts w:eastAsia="Times New Roman" w:cs="Arial"/>
                <w:color w:val="auto"/>
                <w:sz w:val="20"/>
                <w:szCs w:val="20"/>
                <w:lang w:eastAsia="en-GB"/>
              </w:rPr>
              <w:t> </w:t>
            </w:r>
          </w:p>
        </w:tc>
      </w:tr>
      <w:tr w:rsidR="006E5B54" w14:paraId="72ECDDBA" w14:textId="77777777" w:rsidTr="002643B4">
        <w:trPr>
          <w:gridAfter w:val="1"/>
          <w:wAfter w:w="50" w:type="dxa"/>
          <w:trHeight w:val="570"/>
        </w:trPr>
        <w:tc>
          <w:tcPr>
            <w:tcW w:w="1825" w:type="dxa"/>
            <w:tcBorders>
              <w:top w:val="nil"/>
              <w:left w:val="single" w:sz="6" w:space="0" w:color="auto"/>
              <w:bottom w:val="single" w:sz="6" w:space="0" w:color="auto"/>
              <w:right w:val="single" w:sz="6" w:space="0" w:color="auto"/>
            </w:tcBorders>
            <w:shd w:val="clear" w:color="auto" w:fill="D9D9D9"/>
            <w:vAlign w:val="center"/>
            <w:hideMark/>
          </w:tcPr>
          <w:p w14:paraId="0FFC5069" w14:textId="77777777" w:rsidR="00064548" w:rsidRPr="00064548" w:rsidRDefault="00162F2E" w:rsidP="00064548">
            <w:pPr>
              <w:autoSpaceDE/>
              <w:autoSpaceDN/>
              <w:adjustRightInd/>
              <w:spacing w:after="0"/>
              <w:jc w:val="lef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Disability (Adults)</w:t>
            </w:r>
            <w:r w:rsidRPr="00064548">
              <w:rPr>
                <w:rFonts w:eastAsia="Times New Roman" w:cs="Arial"/>
                <w:color w:val="auto"/>
                <w:sz w:val="20"/>
                <w:szCs w:val="20"/>
                <w:lang w:eastAsia="en-GB"/>
              </w:rPr>
              <w:t> </w:t>
            </w:r>
          </w:p>
        </w:tc>
        <w:tc>
          <w:tcPr>
            <w:tcW w:w="9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9666"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1.939 </w:t>
            </w:r>
          </w:p>
        </w:tc>
        <w:tc>
          <w:tcPr>
            <w:tcW w:w="1312" w:type="dxa"/>
            <w:tcBorders>
              <w:top w:val="single" w:sz="6" w:space="0" w:color="auto"/>
              <w:left w:val="nil"/>
              <w:bottom w:val="single" w:sz="6" w:space="0" w:color="auto"/>
              <w:right w:val="single" w:sz="6" w:space="0" w:color="auto"/>
            </w:tcBorders>
            <w:shd w:val="clear" w:color="auto" w:fill="auto"/>
            <w:vAlign w:val="center"/>
            <w:hideMark/>
          </w:tcPr>
          <w:p w14:paraId="3487A11F"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0.991 </w:t>
            </w:r>
          </w:p>
        </w:tc>
        <w:tc>
          <w:tcPr>
            <w:tcW w:w="1459" w:type="dxa"/>
            <w:tcBorders>
              <w:top w:val="single" w:sz="6" w:space="0" w:color="auto"/>
              <w:left w:val="nil"/>
              <w:bottom w:val="single" w:sz="6" w:space="0" w:color="auto"/>
              <w:right w:val="single" w:sz="6" w:space="0" w:color="auto"/>
            </w:tcBorders>
            <w:shd w:val="clear" w:color="auto" w:fill="D9D9D9"/>
            <w:vAlign w:val="center"/>
            <w:hideMark/>
          </w:tcPr>
          <w:p w14:paraId="523CE279"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-0.948 </w:t>
            </w:r>
          </w:p>
        </w:tc>
        <w:tc>
          <w:tcPr>
            <w:tcW w:w="1157" w:type="dxa"/>
            <w:tcBorders>
              <w:top w:val="single" w:sz="6" w:space="0" w:color="auto"/>
              <w:left w:val="nil"/>
              <w:bottom w:val="single" w:sz="6" w:space="0" w:color="auto"/>
              <w:right w:val="single" w:sz="6" w:space="0" w:color="auto"/>
            </w:tcBorders>
            <w:shd w:val="clear" w:color="auto" w:fill="auto"/>
            <w:vAlign w:val="center"/>
            <w:hideMark/>
          </w:tcPr>
          <w:p w14:paraId="04C92F5A"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-48.89% </w:t>
            </w:r>
          </w:p>
        </w:tc>
        <w:tc>
          <w:tcPr>
            <w:tcW w:w="1371" w:type="dxa"/>
            <w:tcBorders>
              <w:top w:val="single" w:sz="6" w:space="0" w:color="auto"/>
              <w:left w:val="nil"/>
              <w:bottom w:val="single" w:sz="6" w:space="0" w:color="auto"/>
              <w:right w:val="single" w:sz="6" w:space="0" w:color="auto"/>
            </w:tcBorders>
            <w:shd w:val="clear" w:color="auto" w:fill="D9D9D9"/>
            <w:vAlign w:val="center"/>
            <w:hideMark/>
          </w:tcPr>
          <w:p w14:paraId="352A38AF"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-0.081 </w:t>
            </w:r>
          </w:p>
        </w:tc>
        <w:tc>
          <w:tcPr>
            <w:tcW w:w="11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CD52C3"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-0.867 </w:t>
            </w:r>
          </w:p>
        </w:tc>
      </w:tr>
      <w:tr w:rsidR="006E5B54" w14:paraId="2EC6EF06" w14:textId="77777777" w:rsidTr="002643B4">
        <w:trPr>
          <w:gridAfter w:val="1"/>
          <w:wAfter w:w="50" w:type="dxa"/>
          <w:trHeight w:val="495"/>
        </w:trPr>
        <w:tc>
          <w:tcPr>
            <w:tcW w:w="1825" w:type="dxa"/>
            <w:tcBorders>
              <w:top w:val="nil"/>
              <w:left w:val="single" w:sz="6" w:space="0" w:color="auto"/>
              <w:bottom w:val="single" w:sz="6" w:space="0" w:color="auto"/>
              <w:right w:val="single" w:sz="6" w:space="0" w:color="auto"/>
            </w:tcBorders>
            <w:shd w:val="clear" w:color="auto" w:fill="D9D9D9"/>
            <w:vAlign w:val="center"/>
            <w:hideMark/>
          </w:tcPr>
          <w:p w14:paraId="04030F14" w14:textId="77777777" w:rsidR="00064548" w:rsidRPr="00064548" w:rsidRDefault="00162F2E" w:rsidP="00064548">
            <w:pPr>
              <w:autoSpaceDE/>
              <w:autoSpaceDN/>
              <w:adjustRightInd/>
              <w:spacing w:after="0"/>
              <w:jc w:val="lef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Learning Disabilities, Autism &amp; Mental Health</w:t>
            </w:r>
            <w:r w:rsidRPr="00064548">
              <w:rPr>
                <w:rFonts w:eastAsia="Times New Roman" w:cs="Arial"/>
                <w:color w:val="auto"/>
                <w:sz w:val="20"/>
                <w:szCs w:val="20"/>
                <w:lang w:eastAsia="en-GB"/>
              </w:rPr>
              <w:t> </w:t>
            </w:r>
          </w:p>
        </w:tc>
        <w:tc>
          <w:tcPr>
            <w:tcW w:w="949" w:type="dxa"/>
            <w:tcBorders>
              <w:top w:val="nil"/>
              <w:left w:val="single" w:sz="6" w:space="0" w:color="auto"/>
              <w:bottom w:val="single" w:sz="6" w:space="0" w:color="auto"/>
              <w:right w:val="single" w:sz="6" w:space="0" w:color="auto"/>
            </w:tcBorders>
            <w:shd w:val="clear" w:color="auto" w:fill="auto"/>
            <w:vAlign w:val="center"/>
            <w:hideMark/>
          </w:tcPr>
          <w:p w14:paraId="046611F7"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176.363 </w:t>
            </w:r>
          </w:p>
        </w:tc>
        <w:tc>
          <w:tcPr>
            <w:tcW w:w="1312" w:type="dxa"/>
            <w:tcBorders>
              <w:top w:val="nil"/>
              <w:left w:val="nil"/>
              <w:bottom w:val="single" w:sz="6" w:space="0" w:color="auto"/>
              <w:right w:val="single" w:sz="6" w:space="0" w:color="auto"/>
            </w:tcBorders>
            <w:shd w:val="clear" w:color="auto" w:fill="auto"/>
            <w:vAlign w:val="center"/>
            <w:hideMark/>
          </w:tcPr>
          <w:p w14:paraId="5ACBDDD6"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179.294 </w:t>
            </w:r>
          </w:p>
        </w:tc>
        <w:tc>
          <w:tcPr>
            <w:tcW w:w="1459" w:type="dxa"/>
            <w:tcBorders>
              <w:top w:val="nil"/>
              <w:left w:val="nil"/>
              <w:bottom w:val="single" w:sz="6" w:space="0" w:color="auto"/>
              <w:right w:val="single" w:sz="6" w:space="0" w:color="auto"/>
            </w:tcBorders>
            <w:shd w:val="clear" w:color="auto" w:fill="D9D9D9"/>
            <w:vAlign w:val="center"/>
            <w:hideMark/>
          </w:tcPr>
          <w:p w14:paraId="5A0A41EB"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2.931 </w:t>
            </w:r>
          </w:p>
        </w:tc>
        <w:tc>
          <w:tcPr>
            <w:tcW w:w="1157" w:type="dxa"/>
            <w:tcBorders>
              <w:top w:val="nil"/>
              <w:left w:val="nil"/>
              <w:bottom w:val="single" w:sz="6" w:space="0" w:color="auto"/>
              <w:right w:val="single" w:sz="6" w:space="0" w:color="auto"/>
            </w:tcBorders>
            <w:shd w:val="clear" w:color="auto" w:fill="auto"/>
            <w:vAlign w:val="center"/>
            <w:hideMark/>
          </w:tcPr>
          <w:p w14:paraId="568FB2C8"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1.66% </w:t>
            </w:r>
          </w:p>
        </w:tc>
        <w:tc>
          <w:tcPr>
            <w:tcW w:w="1371" w:type="dxa"/>
            <w:tcBorders>
              <w:top w:val="nil"/>
              <w:left w:val="nil"/>
              <w:bottom w:val="single" w:sz="6" w:space="0" w:color="auto"/>
              <w:right w:val="single" w:sz="6" w:space="0" w:color="auto"/>
            </w:tcBorders>
            <w:shd w:val="clear" w:color="auto" w:fill="D9D9D9"/>
            <w:vAlign w:val="center"/>
            <w:hideMark/>
          </w:tcPr>
          <w:p w14:paraId="61CA7766"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4.282 </w:t>
            </w:r>
          </w:p>
        </w:tc>
        <w:tc>
          <w:tcPr>
            <w:tcW w:w="1193" w:type="dxa"/>
            <w:tcBorders>
              <w:top w:val="nil"/>
              <w:left w:val="single" w:sz="6" w:space="0" w:color="auto"/>
              <w:bottom w:val="single" w:sz="6" w:space="0" w:color="auto"/>
              <w:right w:val="single" w:sz="6" w:space="0" w:color="auto"/>
            </w:tcBorders>
            <w:shd w:val="clear" w:color="auto" w:fill="auto"/>
            <w:vAlign w:val="center"/>
            <w:hideMark/>
          </w:tcPr>
          <w:p w14:paraId="2F536E9B"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-1.351 </w:t>
            </w:r>
          </w:p>
        </w:tc>
      </w:tr>
      <w:tr w:rsidR="006E5B54" w14:paraId="77A15A95" w14:textId="77777777" w:rsidTr="002643B4">
        <w:trPr>
          <w:gridAfter w:val="1"/>
          <w:wAfter w:w="50" w:type="dxa"/>
          <w:trHeight w:val="600"/>
        </w:trPr>
        <w:tc>
          <w:tcPr>
            <w:tcW w:w="1825" w:type="dxa"/>
            <w:tcBorders>
              <w:top w:val="nil"/>
              <w:left w:val="single" w:sz="6" w:space="0" w:color="auto"/>
              <w:bottom w:val="single" w:sz="6" w:space="0" w:color="auto"/>
              <w:right w:val="single" w:sz="6" w:space="0" w:color="auto"/>
            </w:tcBorders>
            <w:shd w:val="clear" w:color="auto" w:fill="D9D9D9"/>
            <w:vAlign w:val="center"/>
            <w:hideMark/>
          </w:tcPr>
          <w:p w14:paraId="20CC944B" w14:textId="77777777" w:rsidR="00064548" w:rsidRPr="00064548" w:rsidRDefault="00162F2E" w:rsidP="00064548">
            <w:pPr>
              <w:autoSpaceDE/>
              <w:autoSpaceDN/>
              <w:adjustRightInd/>
              <w:spacing w:after="0"/>
              <w:jc w:val="lef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Residential and Day Care Services for Older People</w:t>
            </w:r>
            <w:r w:rsidRPr="00064548">
              <w:rPr>
                <w:rFonts w:eastAsia="Times New Roman" w:cs="Arial"/>
                <w:color w:val="auto"/>
                <w:sz w:val="20"/>
                <w:szCs w:val="20"/>
                <w:lang w:eastAsia="en-GB"/>
              </w:rPr>
              <w:t> </w:t>
            </w:r>
          </w:p>
        </w:tc>
        <w:tc>
          <w:tcPr>
            <w:tcW w:w="949" w:type="dxa"/>
            <w:tcBorders>
              <w:top w:val="nil"/>
              <w:left w:val="single" w:sz="6" w:space="0" w:color="auto"/>
              <w:bottom w:val="single" w:sz="6" w:space="0" w:color="auto"/>
              <w:right w:val="single" w:sz="6" w:space="0" w:color="auto"/>
            </w:tcBorders>
            <w:shd w:val="clear" w:color="auto" w:fill="auto"/>
            <w:vAlign w:val="center"/>
            <w:hideMark/>
          </w:tcPr>
          <w:p w14:paraId="6361D64A"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0.255 </w:t>
            </w:r>
          </w:p>
        </w:tc>
        <w:tc>
          <w:tcPr>
            <w:tcW w:w="1312" w:type="dxa"/>
            <w:tcBorders>
              <w:top w:val="nil"/>
              <w:left w:val="nil"/>
              <w:bottom w:val="single" w:sz="6" w:space="0" w:color="auto"/>
              <w:right w:val="single" w:sz="6" w:space="0" w:color="auto"/>
            </w:tcBorders>
            <w:shd w:val="clear" w:color="auto" w:fill="auto"/>
            <w:vAlign w:val="center"/>
            <w:hideMark/>
          </w:tcPr>
          <w:p w14:paraId="3B66B4F1"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4.057 </w:t>
            </w:r>
          </w:p>
        </w:tc>
        <w:tc>
          <w:tcPr>
            <w:tcW w:w="1459" w:type="dxa"/>
            <w:tcBorders>
              <w:top w:val="nil"/>
              <w:left w:val="nil"/>
              <w:bottom w:val="single" w:sz="6" w:space="0" w:color="auto"/>
              <w:right w:val="single" w:sz="6" w:space="0" w:color="auto"/>
            </w:tcBorders>
            <w:shd w:val="clear" w:color="auto" w:fill="D9D9D9"/>
            <w:vAlign w:val="center"/>
            <w:hideMark/>
          </w:tcPr>
          <w:p w14:paraId="6E385624"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3.802 </w:t>
            </w:r>
          </w:p>
        </w:tc>
        <w:tc>
          <w:tcPr>
            <w:tcW w:w="1157" w:type="dxa"/>
            <w:tcBorders>
              <w:top w:val="nil"/>
              <w:left w:val="nil"/>
              <w:bottom w:val="single" w:sz="6" w:space="0" w:color="auto"/>
              <w:right w:val="single" w:sz="6" w:space="0" w:color="auto"/>
            </w:tcBorders>
            <w:shd w:val="clear" w:color="auto" w:fill="auto"/>
            <w:vAlign w:val="center"/>
            <w:hideMark/>
          </w:tcPr>
          <w:p w14:paraId="024DA60F"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1490.98% </w:t>
            </w:r>
          </w:p>
        </w:tc>
        <w:tc>
          <w:tcPr>
            <w:tcW w:w="1371" w:type="dxa"/>
            <w:tcBorders>
              <w:top w:val="nil"/>
              <w:left w:val="nil"/>
              <w:bottom w:val="single" w:sz="6" w:space="0" w:color="auto"/>
              <w:right w:val="single" w:sz="6" w:space="0" w:color="auto"/>
            </w:tcBorders>
            <w:shd w:val="clear" w:color="auto" w:fill="D9D9D9"/>
            <w:vAlign w:val="center"/>
            <w:hideMark/>
          </w:tcPr>
          <w:p w14:paraId="77E82E0A"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4.102 </w:t>
            </w:r>
          </w:p>
        </w:tc>
        <w:tc>
          <w:tcPr>
            <w:tcW w:w="1193" w:type="dxa"/>
            <w:tcBorders>
              <w:top w:val="nil"/>
              <w:left w:val="single" w:sz="6" w:space="0" w:color="auto"/>
              <w:bottom w:val="single" w:sz="6" w:space="0" w:color="auto"/>
              <w:right w:val="single" w:sz="6" w:space="0" w:color="auto"/>
            </w:tcBorders>
            <w:shd w:val="clear" w:color="auto" w:fill="auto"/>
            <w:vAlign w:val="center"/>
            <w:hideMark/>
          </w:tcPr>
          <w:p w14:paraId="213B365D"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-0.300 </w:t>
            </w:r>
          </w:p>
        </w:tc>
      </w:tr>
      <w:tr w:rsidR="006E5B54" w14:paraId="230D5931" w14:textId="77777777" w:rsidTr="002643B4">
        <w:trPr>
          <w:gridAfter w:val="1"/>
          <w:wAfter w:w="50" w:type="dxa"/>
          <w:trHeight w:val="525"/>
        </w:trPr>
        <w:tc>
          <w:tcPr>
            <w:tcW w:w="1825" w:type="dxa"/>
            <w:tcBorders>
              <w:top w:val="nil"/>
              <w:left w:val="single" w:sz="6" w:space="0" w:color="auto"/>
              <w:bottom w:val="single" w:sz="6" w:space="0" w:color="auto"/>
              <w:right w:val="single" w:sz="6" w:space="0" w:color="auto"/>
            </w:tcBorders>
            <w:shd w:val="clear" w:color="auto" w:fill="D9D9D9"/>
            <w:vAlign w:val="center"/>
            <w:hideMark/>
          </w:tcPr>
          <w:p w14:paraId="041D0D4E" w14:textId="77777777" w:rsidR="00064548" w:rsidRPr="00064548" w:rsidRDefault="00162F2E" w:rsidP="00064548">
            <w:pPr>
              <w:autoSpaceDE/>
              <w:autoSpaceDN/>
              <w:adjustRightInd/>
              <w:spacing w:after="0"/>
              <w:jc w:val="lef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Social Care Services (Adults)</w:t>
            </w:r>
            <w:r w:rsidRPr="00064548">
              <w:rPr>
                <w:rFonts w:eastAsia="Times New Roman" w:cs="Arial"/>
                <w:color w:val="auto"/>
                <w:sz w:val="20"/>
                <w:szCs w:val="20"/>
                <w:lang w:eastAsia="en-GB"/>
              </w:rPr>
              <w:t> </w:t>
            </w:r>
          </w:p>
        </w:tc>
        <w:tc>
          <w:tcPr>
            <w:tcW w:w="949" w:type="dxa"/>
            <w:tcBorders>
              <w:top w:val="nil"/>
              <w:left w:val="single" w:sz="6" w:space="0" w:color="auto"/>
              <w:bottom w:val="single" w:sz="6" w:space="0" w:color="auto"/>
              <w:right w:val="single" w:sz="6" w:space="0" w:color="auto"/>
            </w:tcBorders>
            <w:shd w:val="clear" w:color="auto" w:fill="auto"/>
            <w:vAlign w:val="center"/>
            <w:hideMark/>
          </w:tcPr>
          <w:p w14:paraId="69941085"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197.696 </w:t>
            </w:r>
          </w:p>
        </w:tc>
        <w:tc>
          <w:tcPr>
            <w:tcW w:w="1312" w:type="dxa"/>
            <w:tcBorders>
              <w:top w:val="nil"/>
              <w:left w:val="nil"/>
              <w:bottom w:val="single" w:sz="6" w:space="0" w:color="auto"/>
              <w:right w:val="single" w:sz="6" w:space="0" w:color="auto"/>
            </w:tcBorders>
            <w:shd w:val="clear" w:color="auto" w:fill="auto"/>
            <w:vAlign w:val="center"/>
            <w:hideMark/>
          </w:tcPr>
          <w:p w14:paraId="704ABE71"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191.381 </w:t>
            </w:r>
          </w:p>
        </w:tc>
        <w:tc>
          <w:tcPr>
            <w:tcW w:w="1459" w:type="dxa"/>
            <w:tcBorders>
              <w:top w:val="nil"/>
              <w:left w:val="nil"/>
              <w:bottom w:val="single" w:sz="6" w:space="0" w:color="auto"/>
              <w:right w:val="single" w:sz="6" w:space="0" w:color="auto"/>
            </w:tcBorders>
            <w:shd w:val="clear" w:color="auto" w:fill="D9D9D9"/>
            <w:vAlign w:val="center"/>
            <w:hideMark/>
          </w:tcPr>
          <w:p w14:paraId="7E78E61D"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-6.315 </w:t>
            </w:r>
          </w:p>
        </w:tc>
        <w:tc>
          <w:tcPr>
            <w:tcW w:w="1157" w:type="dxa"/>
            <w:tcBorders>
              <w:top w:val="nil"/>
              <w:left w:val="nil"/>
              <w:bottom w:val="single" w:sz="6" w:space="0" w:color="auto"/>
              <w:right w:val="single" w:sz="6" w:space="0" w:color="auto"/>
            </w:tcBorders>
            <w:shd w:val="clear" w:color="auto" w:fill="auto"/>
            <w:vAlign w:val="center"/>
            <w:hideMark/>
          </w:tcPr>
          <w:p w14:paraId="7F20EA7B"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-3.19% </w:t>
            </w:r>
          </w:p>
        </w:tc>
        <w:tc>
          <w:tcPr>
            <w:tcW w:w="1371" w:type="dxa"/>
            <w:tcBorders>
              <w:top w:val="nil"/>
              <w:left w:val="nil"/>
              <w:bottom w:val="single" w:sz="6" w:space="0" w:color="auto"/>
              <w:right w:val="single" w:sz="6" w:space="0" w:color="auto"/>
            </w:tcBorders>
            <w:shd w:val="clear" w:color="auto" w:fill="D9D9D9"/>
            <w:vAlign w:val="center"/>
            <w:hideMark/>
          </w:tcPr>
          <w:p w14:paraId="2CD06BF1"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-0.590 </w:t>
            </w:r>
          </w:p>
        </w:tc>
        <w:tc>
          <w:tcPr>
            <w:tcW w:w="1193" w:type="dxa"/>
            <w:tcBorders>
              <w:top w:val="nil"/>
              <w:left w:val="single" w:sz="6" w:space="0" w:color="auto"/>
              <w:bottom w:val="single" w:sz="6" w:space="0" w:color="auto"/>
              <w:right w:val="single" w:sz="6" w:space="0" w:color="auto"/>
            </w:tcBorders>
            <w:shd w:val="clear" w:color="auto" w:fill="auto"/>
            <w:vAlign w:val="center"/>
            <w:hideMark/>
          </w:tcPr>
          <w:p w14:paraId="52C9CEBF"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-5.725 </w:t>
            </w:r>
          </w:p>
        </w:tc>
      </w:tr>
      <w:tr w:rsidR="006E5B54" w14:paraId="5BF654E7" w14:textId="77777777" w:rsidTr="002643B4">
        <w:trPr>
          <w:gridAfter w:val="1"/>
          <w:wAfter w:w="50" w:type="dxa"/>
          <w:trHeight w:val="435"/>
        </w:trPr>
        <w:tc>
          <w:tcPr>
            <w:tcW w:w="1825" w:type="dxa"/>
            <w:tcBorders>
              <w:top w:val="nil"/>
              <w:left w:val="single" w:sz="6" w:space="0" w:color="auto"/>
              <w:bottom w:val="single" w:sz="6" w:space="0" w:color="auto"/>
              <w:right w:val="single" w:sz="6" w:space="0" w:color="auto"/>
            </w:tcBorders>
            <w:shd w:val="clear" w:color="auto" w:fill="D9D9D9"/>
            <w:vAlign w:val="center"/>
            <w:hideMark/>
          </w:tcPr>
          <w:p w14:paraId="5223848B" w14:textId="77777777" w:rsidR="00064548" w:rsidRPr="00064548" w:rsidRDefault="00162F2E" w:rsidP="00064548">
            <w:pPr>
              <w:autoSpaceDE/>
              <w:autoSpaceDN/>
              <w:adjustRightInd/>
              <w:spacing w:after="0"/>
              <w:jc w:val="lef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Total</w:t>
            </w:r>
            <w:r w:rsidRPr="00064548">
              <w:rPr>
                <w:rFonts w:eastAsia="Times New Roman" w:cs="Arial"/>
                <w:color w:val="auto"/>
                <w:sz w:val="20"/>
                <w:szCs w:val="20"/>
                <w:lang w:eastAsia="en-GB"/>
              </w:rPr>
              <w:t> </w:t>
            </w:r>
          </w:p>
        </w:tc>
        <w:tc>
          <w:tcPr>
            <w:tcW w:w="949" w:type="dxa"/>
            <w:tcBorders>
              <w:top w:val="nil"/>
              <w:left w:val="single" w:sz="6" w:space="0" w:color="auto"/>
              <w:bottom w:val="single" w:sz="6" w:space="0" w:color="auto"/>
              <w:right w:val="single" w:sz="6" w:space="0" w:color="auto"/>
            </w:tcBorders>
            <w:shd w:val="clear" w:color="auto" w:fill="D9D9D9"/>
            <w:vAlign w:val="center"/>
            <w:hideMark/>
          </w:tcPr>
          <w:p w14:paraId="37A096DF"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sz w:val="20"/>
                <w:szCs w:val="20"/>
                <w:lang w:eastAsia="en-GB"/>
              </w:rPr>
              <w:t>376.253</w:t>
            </w:r>
            <w:r w:rsidRPr="00064548">
              <w:rPr>
                <w:rFonts w:eastAsia="Times New Roman" w:cs="Arial"/>
                <w:sz w:val="20"/>
                <w:szCs w:val="20"/>
                <w:lang w:eastAsia="en-GB"/>
              </w:rPr>
              <w:t> </w:t>
            </w:r>
          </w:p>
        </w:tc>
        <w:tc>
          <w:tcPr>
            <w:tcW w:w="1312" w:type="dxa"/>
            <w:tcBorders>
              <w:top w:val="nil"/>
              <w:left w:val="nil"/>
              <w:bottom w:val="single" w:sz="6" w:space="0" w:color="auto"/>
              <w:right w:val="single" w:sz="6" w:space="0" w:color="auto"/>
            </w:tcBorders>
            <w:shd w:val="clear" w:color="auto" w:fill="D9D9D9"/>
            <w:vAlign w:val="center"/>
            <w:hideMark/>
          </w:tcPr>
          <w:p w14:paraId="26C8C2B4"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sz w:val="20"/>
                <w:szCs w:val="20"/>
                <w:lang w:eastAsia="en-GB"/>
              </w:rPr>
              <w:t>375.723</w:t>
            </w:r>
            <w:r w:rsidRPr="00064548">
              <w:rPr>
                <w:rFonts w:eastAsia="Times New Roman" w:cs="Arial"/>
                <w:sz w:val="20"/>
                <w:szCs w:val="20"/>
                <w:lang w:eastAsia="en-GB"/>
              </w:rPr>
              <w:t> </w:t>
            </w:r>
          </w:p>
        </w:tc>
        <w:tc>
          <w:tcPr>
            <w:tcW w:w="1459" w:type="dxa"/>
            <w:tcBorders>
              <w:top w:val="nil"/>
              <w:left w:val="nil"/>
              <w:bottom w:val="single" w:sz="6" w:space="0" w:color="auto"/>
              <w:right w:val="single" w:sz="6" w:space="0" w:color="auto"/>
            </w:tcBorders>
            <w:shd w:val="clear" w:color="auto" w:fill="D9D9D9"/>
            <w:vAlign w:val="center"/>
            <w:hideMark/>
          </w:tcPr>
          <w:p w14:paraId="7EE2371F"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sz w:val="20"/>
                <w:szCs w:val="20"/>
                <w:lang w:eastAsia="en-GB"/>
              </w:rPr>
              <w:t>-0.530</w:t>
            </w:r>
            <w:r w:rsidRPr="00064548">
              <w:rPr>
                <w:rFonts w:eastAsia="Times New Roman" w:cs="Arial"/>
                <w:sz w:val="20"/>
                <w:szCs w:val="20"/>
                <w:lang w:eastAsia="en-GB"/>
              </w:rPr>
              <w:t> </w:t>
            </w:r>
          </w:p>
        </w:tc>
        <w:tc>
          <w:tcPr>
            <w:tcW w:w="1157" w:type="dxa"/>
            <w:tcBorders>
              <w:top w:val="nil"/>
              <w:left w:val="nil"/>
              <w:bottom w:val="single" w:sz="6" w:space="0" w:color="auto"/>
              <w:right w:val="single" w:sz="6" w:space="0" w:color="auto"/>
            </w:tcBorders>
            <w:shd w:val="clear" w:color="auto" w:fill="D9D9D9"/>
            <w:vAlign w:val="center"/>
            <w:hideMark/>
          </w:tcPr>
          <w:p w14:paraId="4769A842"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sz w:val="20"/>
                <w:szCs w:val="20"/>
                <w:lang w:eastAsia="en-GB"/>
              </w:rPr>
              <w:t>-0.14%</w:t>
            </w:r>
            <w:r w:rsidRPr="00064548">
              <w:rPr>
                <w:rFonts w:eastAsia="Times New Roman" w:cs="Arial"/>
                <w:sz w:val="20"/>
                <w:szCs w:val="20"/>
                <w:lang w:eastAsia="en-GB"/>
              </w:rPr>
              <w:t> </w:t>
            </w:r>
          </w:p>
        </w:tc>
        <w:tc>
          <w:tcPr>
            <w:tcW w:w="1371" w:type="dxa"/>
            <w:tcBorders>
              <w:top w:val="nil"/>
              <w:left w:val="nil"/>
              <w:bottom w:val="single" w:sz="6" w:space="0" w:color="auto"/>
              <w:right w:val="single" w:sz="6" w:space="0" w:color="auto"/>
            </w:tcBorders>
            <w:shd w:val="clear" w:color="auto" w:fill="D9D9D9"/>
            <w:vAlign w:val="center"/>
            <w:hideMark/>
          </w:tcPr>
          <w:p w14:paraId="3B68B987"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7.713</w:t>
            </w:r>
            <w:r w:rsidRPr="00064548">
              <w:rPr>
                <w:rFonts w:eastAsia="Times New Roman" w:cs="Arial"/>
                <w:color w:val="auto"/>
                <w:sz w:val="20"/>
                <w:szCs w:val="20"/>
                <w:lang w:eastAsia="en-GB"/>
              </w:rPr>
              <w:t> </w:t>
            </w:r>
          </w:p>
        </w:tc>
        <w:tc>
          <w:tcPr>
            <w:tcW w:w="1193" w:type="dxa"/>
            <w:tcBorders>
              <w:top w:val="nil"/>
              <w:left w:val="single" w:sz="6" w:space="0" w:color="auto"/>
              <w:bottom w:val="single" w:sz="6" w:space="0" w:color="auto"/>
              <w:right w:val="single" w:sz="6" w:space="0" w:color="auto"/>
            </w:tcBorders>
            <w:shd w:val="clear" w:color="auto" w:fill="D9D9D9"/>
            <w:vAlign w:val="center"/>
            <w:hideMark/>
          </w:tcPr>
          <w:p w14:paraId="3BA249CF"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-8.243</w:t>
            </w:r>
            <w:r w:rsidRPr="00064548">
              <w:rPr>
                <w:rFonts w:eastAsia="Times New Roman" w:cs="Arial"/>
                <w:color w:val="auto"/>
                <w:sz w:val="20"/>
                <w:szCs w:val="20"/>
                <w:lang w:eastAsia="en-GB"/>
              </w:rPr>
              <w:t> </w:t>
            </w:r>
          </w:p>
        </w:tc>
      </w:tr>
      <w:tr w:rsidR="006E5B54" w14:paraId="6FE11BC1" w14:textId="77777777" w:rsidTr="002643B4">
        <w:trPr>
          <w:gridAfter w:val="1"/>
          <w:wAfter w:w="50" w:type="dxa"/>
          <w:trHeight w:val="495"/>
        </w:trPr>
        <w:tc>
          <w:tcPr>
            <w:tcW w:w="1825" w:type="dxa"/>
            <w:tcBorders>
              <w:top w:val="nil"/>
              <w:left w:val="single" w:sz="6" w:space="0" w:color="auto"/>
              <w:bottom w:val="single" w:sz="6" w:space="0" w:color="auto"/>
              <w:right w:val="single" w:sz="6" w:space="0" w:color="auto"/>
            </w:tcBorders>
            <w:shd w:val="clear" w:color="auto" w:fill="auto"/>
            <w:vAlign w:val="center"/>
            <w:hideMark/>
          </w:tcPr>
          <w:p w14:paraId="1423FF6E" w14:textId="77777777" w:rsidR="00064548" w:rsidRPr="00064548" w:rsidRDefault="00162F2E" w:rsidP="00064548">
            <w:pPr>
              <w:autoSpaceDE/>
              <w:autoSpaceDN/>
              <w:adjustRightInd/>
              <w:spacing w:after="0"/>
              <w:jc w:val="lef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 xml:space="preserve">Share of unallocated </w:t>
            </w:r>
            <w:r w:rsidR="0026517A">
              <w:rPr>
                <w:rFonts w:eastAsia="Times New Roman" w:cs="Arial"/>
                <w:b/>
                <w:bCs/>
                <w:color w:val="auto"/>
                <w:sz w:val="20"/>
                <w:szCs w:val="20"/>
                <w:lang w:eastAsia="en-GB"/>
              </w:rPr>
              <w:t>Covid</w:t>
            </w:r>
            <w:r w:rsidRPr="00064548">
              <w:rPr>
                <w:rFonts w:eastAsia="Times New Roman" w:cs="Arial"/>
                <w:b/>
                <w:bCs/>
                <w:color w:val="auto"/>
                <w:sz w:val="20"/>
                <w:szCs w:val="20"/>
                <w:lang w:eastAsia="en-GB"/>
              </w:rPr>
              <w:t>-19 emergency monies</w:t>
            </w:r>
            <w:r w:rsidRPr="00064548">
              <w:rPr>
                <w:rFonts w:eastAsia="Times New Roman" w:cs="Arial"/>
                <w:color w:val="auto"/>
                <w:sz w:val="20"/>
                <w:szCs w:val="20"/>
                <w:lang w:eastAsia="en-GB"/>
              </w:rPr>
              <w:t> </w:t>
            </w:r>
          </w:p>
        </w:tc>
        <w:tc>
          <w:tcPr>
            <w:tcW w:w="949" w:type="dxa"/>
            <w:tcBorders>
              <w:top w:val="nil"/>
              <w:left w:val="single" w:sz="6" w:space="0" w:color="auto"/>
              <w:bottom w:val="single" w:sz="6" w:space="0" w:color="auto"/>
              <w:right w:val="single" w:sz="6" w:space="0" w:color="auto"/>
            </w:tcBorders>
            <w:shd w:val="clear" w:color="auto" w:fill="auto"/>
            <w:vAlign w:val="center"/>
            <w:hideMark/>
          </w:tcPr>
          <w:p w14:paraId="440AECD0"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12.483 </w:t>
            </w:r>
          </w:p>
        </w:tc>
        <w:tc>
          <w:tcPr>
            <w:tcW w:w="1312" w:type="dxa"/>
            <w:tcBorders>
              <w:top w:val="nil"/>
              <w:left w:val="nil"/>
              <w:bottom w:val="single" w:sz="6" w:space="0" w:color="auto"/>
              <w:right w:val="single" w:sz="6" w:space="0" w:color="auto"/>
            </w:tcBorders>
            <w:shd w:val="clear" w:color="auto" w:fill="auto"/>
            <w:vAlign w:val="center"/>
            <w:hideMark/>
          </w:tcPr>
          <w:p w14:paraId="722BB6D5"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 </w:t>
            </w:r>
          </w:p>
        </w:tc>
        <w:tc>
          <w:tcPr>
            <w:tcW w:w="1459" w:type="dxa"/>
            <w:tcBorders>
              <w:top w:val="nil"/>
              <w:left w:val="nil"/>
              <w:bottom w:val="single" w:sz="6" w:space="0" w:color="auto"/>
              <w:right w:val="single" w:sz="6" w:space="0" w:color="auto"/>
            </w:tcBorders>
            <w:shd w:val="clear" w:color="auto" w:fill="D9D9D9"/>
            <w:vAlign w:val="center"/>
            <w:hideMark/>
          </w:tcPr>
          <w:p w14:paraId="12121054"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-12.483 </w:t>
            </w:r>
          </w:p>
        </w:tc>
        <w:tc>
          <w:tcPr>
            <w:tcW w:w="1157" w:type="dxa"/>
            <w:tcBorders>
              <w:top w:val="nil"/>
              <w:left w:val="nil"/>
              <w:bottom w:val="single" w:sz="6" w:space="0" w:color="auto"/>
              <w:right w:val="single" w:sz="6" w:space="0" w:color="auto"/>
            </w:tcBorders>
            <w:shd w:val="clear" w:color="auto" w:fill="auto"/>
            <w:vAlign w:val="center"/>
            <w:hideMark/>
          </w:tcPr>
          <w:p w14:paraId="5A091F3C"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sz w:val="20"/>
                <w:szCs w:val="20"/>
                <w:lang w:eastAsia="en-GB"/>
              </w:rPr>
              <w:t>-  </w:t>
            </w:r>
          </w:p>
        </w:tc>
        <w:tc>
          <w:tcPr>
            <w:tcW w:w="1371" w:type="dxa"/>
            <w:tcBorders>
              <w:top w:val="nil"/>
              <w:left w:val="nil"/>
              <w:bottom w:val="single" w:sz="6" w:space="0" w:color="auto"/>
              <w:right w:val="single" w:sz="6" w:space="0" w:color="auto"/>
            </w:tcBorders>
            <w:shd w:val="clear" w:color="auto" w:fill="D9D9D9"/>
            <w:vAlign w:val="center"/>
            <w:hideMark/>
          </w:tcPr>
          <w:p w14:paraId="2B002DE5"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-12.483 </w:t>
            </w:r>
          </w:p>
        </w:tc>
        <w:tc>
          <w:tcPr>
            <w:tcW w:w="1193" w:type="dxa"/>
            <w:tcBorders>
              <w:top w:val="nil"/>
              <w:left w:val="single" w:sz="6" w:space="0" w:color="auto"/>
              <w:bottom w:val="single" w:sz="6" w:space="0" w:color="auto"/>
              <w:right w:val="single" w:sz="6" w:space="0" w:color="auto"/>
            </w:tcBorders>
            <w:shd w:val="clear" w:color="auto" w:fill="auto"/>
            <w:vAlign w:val="center"/>
            <w:hideMark/>
          </w:tcPr>
          <w:p w14:paraId="40ED6FA6"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0.000 </w:t>
            </w:r>
          </w:p>
        </w:tc>
      </w:tr>
      <w:tr w:rsidR="006E5B54" w14:paraId="47AC5BA1" w14:textId="77777777" w:rsidTr="002643B4">
        <w:trPr>
          <w:trHeight w:val="402"/>
        </w:trPr>
        <w:tc>
          <w:tcPr>
            <w:tcW w:w="1825" w:type="dxa"/>
            <w:tcBorders>
              <w:top w:val="nil"/>
              <w:left w:val="single" w:sz="6" w:space="0" w:color="auto"/>
              <w:bottom w:val="single" w:sz="6" w:space="0" w:color="auto"/>
              <w:right w:val="single" w:sz="6" w:space="0" w:color="auto"/>
            </w:tcBorders>
            <w:shd w:val="clear" w:color="auto" w:fill="D9D9D9"/>
            <w:vAlign w:val="center"/>
            <w:hideMark/>
          </w:tcPr>
          <w:p w14:paraId="29F29CE5" w14:textId="77777777" w:rsidR="00064548" w:rsidRPr="00064548" w:rsidRDefault="00162F2E" w:rsidP="00064548">
            <w:pPr>
              <w:autoSpaceDE/>
              <w:autoSpaceDN/>
              <w:adjustRightInd/>
              <w:spacing w:after="0"/>
              <w:jc w:val="lef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TOTAL ADULTS</w:t>
            </w:r>
            <w:r w:rsidRPr="00064548">
              <w:rPr>
                <w:rFonts w:eastAsia="Times New Roman" w:cs="Arial"/>
                <w:color w:val="auto"/>
                <w:sz w:val="20"/>
                <w:szCs w:val="20"/>
                <w:lang w:eastAsia="en-GB"/>
              </w:rPr>
              <w:t> </w:t>
            </w:r>
          </w:p>
        </w:tc>
        <w:tc>
          <w:tcPr>
            <w:tcW w:w="949" w:type="dxa"/>
            <w:tcBorders>
              <w:top w:val="nil"/>
              <w:left w:val="single" w:sz="6" w:space="0" w:color="auto"/>
              <w:bottom w:val="single" w:sz="6" w:space="0" w:color="auto"/>
              <w:right w:val="single" w:sz="6" w:space="0" w:color="auto"/>
            </w:tcBorders>
            <w:shd w:val="clear" w:color="auto" w:fill="D9D9D9"/>
            <w:vAlign w:val="center"/>
            <w:hideMark/>
          </w:tcPr>
          <w:p w14:paraId="5B79D8AD"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sz w:val="20"/>
                <w:szCs w:val="20"/>
                <w:lang w:eastAsia="en-GB"/>
              </w:rPr>
              <w:t>388.736</w:t>
            </w:r>
            <w:r w:rsidRPr="00064548">
              <w:rPr>
                <w:rFonts w:eastAsia="Times New Roman" w:cs="Arial"/>
                <w:sz w:val="20"/>
                <w:szCs w:val="20"/>
                <w:lang w:eastAsia="en-GB"/>
              </w:rPr>
              <w:t> </w:t>
            </w:r>
          </w:p>
        </w:tc>
        <w:tc>
          <w:tcPr>
            <w:tcW w:w="1312" w:type="dxa"/>
            <w:tcBorders>
              <w:top w:val="nil"/>
              <w:left w:val="nil"/>
              <w:bottom w:val="single" w:sz="6" w:space="0" w:color="auto"/>
              <w:right w:val="single" w:sz="6" w:space="0" w:color="auto"/>
            </w:tcBorders>
            <w:shd w:val="clear" w:color="auto" w:fill="D9D9D9"/>
            <w:vAlign w:val="center"/>
            <w:hideMark/>
          </w:tcPr>
          <w:p w14:paraId="6C7A5CBB"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sz w:val="20"/>
                <w:szCs w:val="20"/>
                <w:lang w:eastAsia="en-GB"/>
              </w:rPr>
              <w:t>375.723</w:t>
            </w:r>
            <w:r w:rsidRPr="00064548">
              <w:rPr>
                <w:rFonts w:eastAsia="Times New Roman" w:cs="Arial"/>
                <w:sz w:val="20"/>
                <w:szCs w:val="20"/>
                <w:lang w:eastAsia="en-GB"/>
              </w:rPr>
              <w:t> </w:t>
            </w:r>
          </w:p>
        </w:tc>
        <w:tc>
          <w:tcPr>
            <w:tcW w:w="1459" w:type="dxa"/>
            <w:tcBorders>
              <w:top w:val="nil"/>
              <w:left w:val="nil"/>
              <w:bottom w:val="single" w:sz="6" w:space="0" w:color="auto"/>
              <w:right w:val="single" w:sz="6" w:space="0" w:color="auto"/>
            </w:tcBorders>
            <w:shd w:val="clear" w:color="auto" w:fill="D9D9D9"/>
            <w:vAlign w:val="center"/>
            <w:hideMark/>
          </w:tcPr>
          <w:p w14:paraId="2D4463C0"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sz w:val="20"/>
                <w:szCs w:val="20"/>
                <w:lang w:eastAsia="en-GB"/>
              </w:rPr>
              <w:t>-13.013</w:t>
            </w:r>
            <w:r w:rsidRPr="00064548">
              <w:rPr>
                <w:rFonts w:eastAsia="Times New Roman" w:cs="Arial"/>
                <w:sz w:val="20"/>
                <w:szCs w:val="20"/>
                <w:lang w:eastAsia="en-GB"/>
              </w:rPr>
              <w:t> </w:t>
            </w:r>
          </w:p>
        </w:tc>
        <w:tc>
          <w:tcPr>
            <w:tcW w:w="1157" w:type="dxa"/>
            <w:tcBorders>
              <w:top w:val="nil"/>
              <w:left w:val="nil"/>
              <w:bottom w:val="single" w:sz="6" w:space="0" w:color="auto"/>
              <w:right w:val="single" w:sz="6" w:space="0" w:color="auto"/>
            </w:tcBorders>
            <w:shd w:val="clear" w:color="auto" w:fill="D9D9D9"/>
            <w:vAlign w:val="center"/>
            <w:hideMark/>
          </w:tcPr>
          <w:p w14:paraId="33B3934B"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sz w:val="20"/>
                <w:szCs w:val="20"/>
                <w:lang w:eastAsia="en-GB"/>
              </w:rPr>
              <w:t>-3.35%</w:t>
            </w:r>
            <w:r w:rsidRPr="00064548">
              <w:rPr>
                <w:rFonts w:eastAsia="Times New Roman" w:cs="Arial"/>
                <w:sz w:val="20"/>
                <w:szCs w:val="20"/>
                <w:lang w:eastAsia="en-GB"/>
              </w:rPr>
              <w:t> </w:t>
            </w:r>
          </w:p>
        </w:tc>
        <w:tc>
          <w:tcPr>
            <w:tcW w:w="1371" w:type="dxa"/>
            <w:tcBorders>
              <w:top w:val="nil"/>
              <w:left w:val="nil"/>
              <w:bottom w:val="single" w:sz="6" w:space="0" w:color="auto"/>
              <w:right w:val="single" w:sz="6" w:space="0" w:color="auto"/>
            </w:tcBorders>
            <w:shd w:val="clear" w:color="auto" w:fill="D9D9D9" w:themeFill="background1" w:themeFillShade="D9"/>
            <w:vAlign w:val="center"/>
            <w:hideMark/>
          </w:tcPr>
          <w:p w14:paraId="0B267639"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-4.770</w:t>
            </w:r>
            <w:r w:rsidRPr="00064548">
              <w:rPr>
                <w:rFonts w:eastAsia="Times New Roman" w:cs="Arial"/>
                <w:color w:val="auto"/>
                <w:sz w:val="20"/>
                <w:szCs w:val="20"/>
                <w:lang w:eastAsia="en-GB"/>
              </w:rPr>
              <w:t> </w:t>
            </w:r>
          </w:p>
        </w:tc>
        <w:tc>
          <w:tcPr>
            <w:tcW w:w="1243" w:type="dxa"/>
            <w:gridSpan w:val="2"/>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D92113E" w14:textId="77777777" w:rsidR="00064548" w:rsidRPr="00064548" w:rsidRDefault="00162F2E" w:rsidP="00064548">
            <w:pPr>
              <w:autoSpaceDE/>
              <w:autoSpaceDN/>
              <w:adjustRightInd/>
              <w:spacing w:after="0"/>
              <w:jc w:val="righ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-8.243</w:t>
            </w:r>
            <w:r w:rsidRPr="00064548">
              <w:rPr>
                <w:rFonts w:eastAsia="Times New Roman" w:cs="Arial"/>
                <w:color w:val="auto"/>
                <w:sz w:val="20"/>
                <w:szCs w:val="20"/>
                <w:lang w:eastAsia="en-GB"/>
              </w:rPr>
              <w:t> </w:t>
            </w:r>
          </w:p>
        </w:tc>
      </w:tr>
    </w:tbl>
    <w:p w14:paraId="3A43FCBD" w14:textId="77777777" w:rsidR="00064548" w:rsidRPr="00064548" w:rsidRDefault="00162F2E" w:rsidP="00064548">
      <w:pPr>
        <w:autoSpaceDE/>
        <w:autoSpaceDN/>
        <w:adjustRightInd/>
        <w:spacing w:after="0"/>
        <w:jc w:val="left"/>
        <w:textAlignment w:val="baseline"/>
        <w:rPr>
          <w:rFonts w:ascii="Segoe UI" w:eastAsia="Times New Roman" w:hAnsi="Segoe UI" w:cs="Segoe UI"/>
          <w:color w:val="auto"/>
          <w:sz w:val="18"/>
          <w:szCs w:val="18"/>
          <w:lang w:eastAsia="en-GB"/>
        </w:rPr>
      </w:pPr>
      <w:r w:rsidRPr="00064548">
        <w:rPr>
          <w:rFonts w:ascii="Calibri" w:eastAsia="Times New Roman" w:hAnsi="Calibri" w:cs="Calibri"/>
          <w:color w:val="FF0000"/>
          <w:sz w:val="22"/>
          <w:szCs w:val="22"/>
          <w:lang w:eastAsia="en-GB"/>
        </w:rPr>
        <w:t> </w:t>
      </w:r>
    </w:p>
    <w:p w14:paraId="5D43C2EA" w14:textId="77777777" w:rsidR="00064548" w:rsidRPr="00064548" w:rsidRDefault="00162F2E" w:rsidP="00064548">
      <w:pPr>
        <w:autoSpaceDE/>
        <w:autoSpaceDN/>
        <w:adjustRightInd/>
        <w:spacing w:after="0"/>
        <w:textAlignment w:val="baseline"/>
        <w:rPr>
          <w:rFonts w:ascii="Segoe UI" w:eastAsia="Times New Roman" w:hAnsi="Segoe UI" w:cs="Segoe UI"/>
          <w:color w:val="auto"/>
          <w:sz w:val="18"/>
          <w:szCs w:val="18"/>
          <w:lang w:eastAsia="en-GB"/>
        </w:rPr>
      </w:pPr>
      <w:r w:rsidRPr="00064548">
        <w:rPr>
          <w:rFonts w:eastAsia="Times New Roman" w:cs="Arial"/>
          <w:color w:val="auto"/>
          <w:lang w:eastAsia="en-GB"/>
        </w:rPr>
        <w:t> </w:t>
      </w:r>
    </w:p>
    <w:p w14:paraId="0B996633" w14:textId="77777777" w:rsidR="00064548" w:rsidRPr="00064548" w:rsidRDefault="00162F2E" w:rsidP="00064548">
      <w:pPr>
        <w:autoSpaceDE/>
        <w:autoSpaceDN/>
        <w:adjustRightInd/>
        <w:spacing w:after="0"/>
        <w:textAlignment w:val="baseline"/>
        <w:rPr>
          <w:rFonts w:ascii="Segoe UI" w:eastAsia="Times New Roman" w:hAnsi="Segoe UI" w:cs="Segoe UI"/>
          <w:color w:val="auto"/>
          <w:sz w:val="18"/>
          <w:szCs w:val="18"/>
          <w:lang w:eastAsia="en-GB"/>
        </w:rPr>
      </w:pPr>
      <w:r w:rsidRPr="00064548">
        <w:rPr>
          <w:rFonts w:eastAsia="Times New Roman" w:cs="Arial"/>
          <w:color w:val="auto"/>
          <w:lang w:eastAsia="en-GB"/>
        </w:rPr>
        <w:t>Th</w:t>
      </w:r>
      <w:r w:rsidR="00F04633">
        <w:rPr>
          <w:rFonts w:eastAsia="Times New Roman" w:cs="Arial"/>
          <w:color w:val="auto"/>
          <w:lang w:eastAsia="en-GB"/>
        </w:rPr>
        <w:t>e section below on</w:t>
      </w:r>
      <w:r w:rsidRPr="00064548">
        <w:rPr>
          <w:rFonts w:eastAsia="Times New Roman" w:cs="Arial"/>
          <w:color w:val="auto"/>
          <w:lang w:eastAsia="en-GB"/>
        </w:rPr>
        <w:t xml:space="preserve"> Adult Social Care Service</w:t>
      </w:r>
      <w:r w:rsidR="008D4F9C">
        <w:rPr>
          <w:rFonts w:eastAsia="Times New Roman" w:cs="Arial"/>
          <w:color w:val="auto"/>
          <w:lang w:eastAsia="en-GB"/>
        </w:rPr>
        <w:t>s</w:t>
      </w:r>
      <w:r w:rsidRPr="00064548">
        <w:rPr>
          <w:rFonts w:eastAsia="Times New Roman" w:cs="Arial"/>
          <w:color w:val="auto"/>
          <w:lang w:eastAsia="en-GB"/>
        </w:rPr>
        <w:t xml:space="preserve"> covers performance against the following key financial areas</w:t>
      </w:r>
      <w:r w:rsidR="004C6D70" w:rsidRPr="00064548">
        <w:rPr>
          <w:rFonts w:eastAsia="Times New Roman" w:cs="Arial"/>
          <w:color w:val="auto"/>
          <w:lang w:eastAsia="en-GB"/>
        </w:rPr>
        <w:t>: -</w:t>
      </w:r>
      <w:r w:rsidRPr="00064548">
        <w:rPr>
          <w:rFonts w:eastAsia="Times New Roman" w:cs="Arial"/>
          <w:color w:val="auto"/>
          <w:lang w:eastAsia="en-GB"/>
        </w:rPr>
        <w:t> </w:t>
      </w:r>
    </w:p>
    <w:p w14:paraId="16F2682E" w14:textId="77777777" w:rsidR="00064548" w:rsidRPr="00064548" w:rsidRDefault="00162F2E" w:rsidP="00064548">
      <w:pPr>
        <w:autoSpaceDE/>
        <w:autoSpaceDN/>
        <w:adjustRightInd/>
        <w:spacing w:after="0"/>
        <w:textAlignment w:val="baseline"/>
        <w:rPr>
          <w:rFonts w:ascii="Segoe UI" w:eastAsia="Times New Roman" w:hAnsi="Segoe UI" w:cs="Segoe UI"/>
          <w:color w:val="auto"/>
          <w:sz w:val="18"/>
          <w:szCs w:val="18"/>
          <w:lang w:eastAsia="en-GB"/>
        </w:rPr>
      </w:pPr>
      <w:r w:rsidRPr="00064548">
        <w:rPr>
          <w:rFonts w:eastAsia="Times New Roman" w:cs="Arial"/>
          <w:color w:val="auto"/>
          <w:lang w:eastAsia="en-GB"/>
        </w:rPr>
        <w:t> </w:t>
      </w:r>
    </w:p>
    <w:p w14:paraId="6C936248" w14:textId="77777777" w:rsidR="00064548" w:rsidRPr="00064548" w:rsidRDefault="00162F2E" w:rsidP="00286604">
      <w:pPr>
        <w:numPr>
          <w:ilvl w:val="0"/>
          <w:numId w:val="33"/>
        </w:numPr>
        <w:autoSpaceDE/>
        <w:autoSpaceDN/>
        <w:adjustRightInd/>
        <w:spacing w:after="0"/>
        <w:ind w:left="426" w:firstLine="0"/>
        <w:textAlignment w:val="baseline"/>
        <w:rPr>
          <w:rFonts w:eastAsia="Times New Roman" w:cs="Arial"/>
          <w:lang w:eastAsia="en-GB"/>
        </w:rPr>
      </w:pPr>
      <w:r w:rsidRPr="00064548">
        <w:rPr>
          <w:rFonts w:eastAsia="Times New Roman" w:cs="Arial"/>
          <w:lang w:eastAsia="en-GB"/>
        </w:rPr>
        <w:t>Actual Outturn Net Expenditure position compared to the Approved Net Budget for 2021/22. </w:t>
      </w:r>
    </w:p>
    <w:p w14:paraId="6D2E5F7C" w14:textId="77777777" w:rsidR="00064548" w:rsidRPr="00064548" w:rsidRDefault="00162F2E" w:rsidP="00286604">
      <w:pPr>
        <w:numPr>
          <w:ilvl w:val="0"/>
          <w:numId w:val="34"/>
        </w:numPr>
        <w:autoSpaceDE/>
        <w:autoSpaceDN/>
        <w:adjustRightInd/>
        <w:spacing w:after="0"/>
        <w:ind w:left="426" w:firstLine="0"/>
        <w:textAlignment w:val="baseline"/>
        <w:rPr>
          <w:rFonts w:eastAsia="Times New Roman" w:cs="Arial"/>
          <w:lang w:eastAsia="en-GB"/>
        </w:rPr>
      </w:pPr>
      <w:r w:rsidRPr="00064548">
        <w:rPr>
          <w:rFonts w:eastAsia="Times New Roman" w:cs="Arial"/>
          <w:lang w:eastAsia="en-GB"/>
        </w:rPr>
        <w:t>Comparison of the Outturn position to the Forecasted Outturn position reported at Quarter 3. </w:t>
      </w:r>
    </w:p>
    <w:p w14:paraId="271217A7" w14:textId="77777777" w:rsidR="00064548" w:rsidRPr="00064548" w:rsidRDefault="00162F2E" w:rsidP="00286604">
      <w:pPr>
        <w:numPr>
          <w:ilvl w:val="0"/>
          <w:numId w:val="35"/>
        </w:numPr>
        <w:autoSpaceDE/>
        <w:autoSpaceDN/>
        <w:adjustRightInd/>
        <w:spacing w:after="0"/>
        <w:ind w:left="426" w:firstLine="0"/>
        <w:textAlignment w:val="baseline"/>
        <w:rPr>
          <w:rFonts w:eastAsia="Times New Roman" w:cs="Arial"/>
          <w:lang w:eastAsia="en-GB"/>
        </w:rPr>
      </w:pPr>
      <w:r w:rsidRPr="00064548">
        <w:rPr>
          <w:rFonts w:eastAsia="Times New Roman" w:cs="Arial"/>
          <w:lang w:eastAsia="en-GB"/>
        </w:rPr>
        <w:t>Budget Savings Update as at 31/03/2022. </w:t>
      </w:r>
    </w:p>
    <w:p w14:paraId="7C222207" w14:textId="77777777" w:rsidR="00064548" w:rsidRPr="00064548" w:rsidRDefault="00162F2E" w:rsidP="00286604">
      <w:pPr>
        <w:autoSpaceDE/>
        <w:autoSpaceDN/>
        <w:adjustRightInd/>
        <w:spacing w:after="0"/>
        <w:ind w:left="426"/>
        <w:jc w:val="left"/>
        <w:textAlignment w:val="baseline"/>
        <w:rPr>
          <w:rFonts w:ascii="Segoe UI" w:eastAsia="Times New Roman" w:hAnsi="Segoe UI" w:cs="Segoe UI"/>
          <w:color w:val="auto"/>
          <w:sz w:val="18"/>
          <w:szCs w:val="18"/>
          <w:lang w:eastAsia="en-GB"/>
        </w:rPr>
      </w:pPr>
      <w:r w:rsidRPr="00064548">
        <w:rPr>
          <w:rFonts w:ascii="Calibri" w:eastAsia="Times New Roman" w:hAnsi="Calibri" w:cs="Calibri"/>
          <w:color w:val="auto"/>
          <w:sz w:val="22"/>
          <w:szCs w:val="22"/>
          <w:lang w:eastAsia="en-GB"/>
        </w:rPr>
        <w:t> </w:t>
      </w:r>
    </w:p>
    <w:p w14:paraId="448067DF" w14:textId="77777777" w:rsidR="00064548" w:rsidRPr="00064548" w:rsidRDefault="00162F2E" w:rsidP="00286604">
      <w:pPr>
        <w:autoSpaceDE/>
        <w:autoSpaceDN/>
        <w:adjustRightInd/>
        <w:spacing w:after="0"/>
        <w:ind w:left="426"/>
        <w:textAlignment w:val="baseline"/>
        <w:rPr>
          <w:rFonts w:ascii="Segoe UI" w:eastAsia="Times New Roman" w:hAnsi="Segoe UI" w:cs="Segoe UI"/>
          <w:color w:val="auto"/>
          <w:sz w:val="18"/>
          <w:szCs w:val="18"/>
          <w:lang w:eastAsia="en-GB"/>
        </w:rPr>
      </w:pPr>
      <w:r w:rsidRPr="00064548">
        <w:rPr>
          <w:rFonts w:eastAsia="Times New Roman" w:cs="Arial"/>
          <w:color w:val="auto"/>
          <w:lang w:eastAsia="en-GB"/>
        </w:rPr>
        <w:t> </w:t>
      </w:r>
    </w:p>
    <w:p w14:paraId="0D1D9D46" w14:textId="77777777" w:rsidR="006F1DAB" w:rsidRDefault="00162F2E" w:rsidP="0020755A">
      <w:pPr>
        <w:pStyle w:val="paragraph"/>
        <w:spacing w:before="0" w:beforeAutospacing="0" w:after="0" w:afterAutospacing="0"/>
        <w:ind w:right="-90"/>
        <w:jc w:val="both"/>
        <w:textAlignment w:val="baseline"/>
        <w:rPr>
          <w:rStyle w:val="normaltextrun"/>
          <w:rFonts w:ascii="Arial" w:hAnsi="Arial"/>
        </w:rPr>
      </w:pPr>
      <w:r>
        <w:rPr>
          <w:rStyle w:val="normaltextrun"/>
          <w:rFonts w:ascii="Arial" w:hAnsi="Arial"/>
        </w:rPr>
        <w:t xml:space="preserve">The total budget for Adult Services is net expenditure of £376.253m.  The outturn (actual net expenditure) as at 31/03/2022 is £375.723m resulting in a small underspend of £0.530m </w:t>
      </w:r>
      <w:r w:rsidR="00286604">
        <w:rPr>
          <w:rStyle w:val="normaltextrun"/>
          <w:rFonts w:ascii="Arial" w:hAnsi="Arial"/>
        </w:rPr>
        <w:t xml:space="preserve">and </w:t>
      </w:r>
      <w:r>
        <w:rPr>
          <w:rStyle w:val="normaltextrun"/>
          <w:rFonts w:ascii="Arial" w:hAnsi="Arial"/>
        </w:rPr>
        <w:t>equating to just 0.14% of the total budget.  As at the 3</w:t>
      </w:r>
      <w:r>
        <w:rPr>
          <w:rStyle w:val="normaltextrun"/>
          <w:rFonts w:ascii="Arial" w:hAnsi="Arial"/>
          <w:sz w:val="19"/>
          <w:szCs w:val="19"/>
          <w:vertAlign w:val="superscript"/>
        </w:rPr>
        <w:t>rd</w:t>
      </w:r>
      <w:r>
        <w:rPr>
          <w:rStyle w:val="normaltextrun"/>
          <w:rFonts w:ascii="Arial" w:hAnsi="Arial"/>
        </w:rPr>
        <w:t xml:space="preserve"> Quarter the forecasted outturn for Adult Services was an overspend of £7.713m which means the forecasted outturn reduced by £8.243m.  </w:t>
      </w:r>
      <w:r w:rsidR="00ED2249" w:rsidRPr="72666EB5">
        <w:rPr>
          <w:rStyle w:val="normaltextrun"/>
          <w:rFonts w:ascii="Arial" w:hAnsi="Arial"/>
        </w:rPr>
        <w:t>The</w:t>
      </w:r>
      <w:r>
        <w:rPr>
          <w:rStyle w:val="normaltextrun"/>
          <w:rFonts w:ascii="Arial" w:hAnsi="Arial"/>
        </w:rPr>
        <w:t xml:space="preserve"> underspend for the Directorate does mask underlying budget challenges already included within the budget.  These includes some unachieved budget savings from previous years that have not been progressed due to the pandemic. </w:t>
      </w:r>
    </w:p>
    <w:p w14:paraId="44272FF1" w14:textId="77777777" w:rsidR="0020755A" w:rsidRDefault="0020755A" w:rsidP="0020755A">
      <w:pPr>
        <w:pStyle w:val="paragraph"/>
        <w:spacing w:before="0" w:beforeAutospacing="0" w:after="0" w:afterAutospacing="0"/>
        <w:ind w:right="-90"/>
        <w:jc w:val="both"/>
        <w:textAlignment w:val="baseline"/>
        <w:rPr>
          <w:rFonts w:ascii="Segoe UI" w:hAnsi="Segoe UI" w:cs="Segoe UI"/>
          <w:sz w:val="18"/>
          <w:szCs w:val="18"/>
        </w:rPr>
      </w:pPr>
    </w:p>
    <w:p w14:paraId="2E66FC28" w14:textId="77777777" w:rsidR="006F1DAB" w:rsidRDefault="00162F2E" w:rsidP="006F1DA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 xml:space="preserve">It is </w:t>
      </w:r>
      <w:r w:rsidR="006E0F80">
        <w:rPr>
          <w:rStyle w:val="normaltextrun"/>
          <w:rFonts w:ascii="Arial" w:hAnsi="Arial"/>
        </w:rPr>
        <w:t xml:space="preserve">also </w:t>
      </w:r>
      <w:r>
        <w:rPr>
          <w:rStyle w:val="normaltextrun"/>
          <w:rFonts w:ascii="Arial" w:hAnsi="Arial"/>
        </w:rPr>
        <w:t xml:space="preserve">important to </w:t>
      </w:r>
      <w:r w:rsidR="00E34E85">
        <w:rPr>
          <w:rStyle w:val="normaltextrun"/>
          <w:rFonts w:ascii="Arial" w:hAnsi="Arial"/>
        </w:rPr>
        <w:t>highlight</w:t>
      </w:r>
      <w:r>
        <w:rPr>
          <w:rStyle w:val="normaltextrun"/>
          <w:rFonts w:ascii="Arial" w:hAnsi="Arial"/>
        </w:rPr>
        <w:t xml:space="preserve"> that the year-end financial position includes a significant one-off contribution from the Emergency </w:t>
      </w:r>
      <w:r w:rsidR="0026517A">
        <w:rPr>
          <w:rStyle w:val="normaltextrun"/>
          <w:rFonts w:ascii="Arial" w:hAnsi="Arial"/>
        </w:rPr>
        <w:t>Covid-19</w:t>
      </w:r>
      <w:r>
        <w:rPr>
          <w:rStyle w:val="normaltextrun"/>
          <w:rFonts w:ascii="Arial" w:hAnsi="Arial"/>
        </w:rPr>
        <w:t xml:space="preserve"> Funding grant of £12.483m </w:t>
      </w:r>
      <w:r w:rsidR="00C11D54">
        <w:rPr>
          <w:rStyle w:val="normaltextrun"/>
          <w:rFonts w:ascii="Arial" w:hAnsi="Arial"/>
        </w:rPr>
        <w:t>(</w:t>
      </w:r>
      <w:r>
        <w:rPr>
          <w:rStyle w:val="normaltextrun"/>
          <w:rFonts w:ascii="Arial" w:hAnsi="Arial"/>
        </w:rPr>
        <w:t>below the line</w:t>
      </w:r>
      <w:r w:rsidR="00C11D54">
        <w:rPr>
          <w:rStyle w:val="normaltextrun"/>
          <w:rFonts w:ascii="Arial" w:hAnsi="Arial"/>
        </w:rPr>
        <w:t>)</w:t>
      </w:r>
      <w:r>
        <w:rPr>
          <w:rStyle w:val="normaltextrun"/>
          <w:rFonts w:ascii="Arial" w:hAnsi="Arial"/>
        </w:rPr>
        <w:t>.  This adjusts the underspend from £0.530m to £13.013m for 2021/22 only.   </w:t>
      </w:r>
      <w:r>
        <w:rPr>
          <w:rStyle w:val="eop"/>
          <w:rFonts w:ascii="Arial" w:hAnsi="Arial"/>
        </w:rPr>
        <w:t> </w:t>
      </w:r>
    </w:p>
    <w:p w14:paraId="3FE44892" w14:textId="77777777" w:rsidR="006F1DAB" w:rsidRDefault="00162F2E" w:rsidP="006F1DAB">
      <w:pPr>
        <w:pStyle w:val="paragraph"/>
        <w:spacing w:before="0" w:beforeAutospacing="0" w:after="0" w:afterAutospacing="0"/>
        <w:jc w:val="both"/>
        <w:textAlignment w:val="baseline"/>
        <w:rPr>
          <w:rStyle w:val="eop"/>
          <w:rFonts w:ascii="Arial" w:hAnsi="Arial"/>
          <w:color w:val="FF0000"/>
        </w:rPr>
      </w:pPr>
      <w:r>
        <w:rPr>
          <w:rStyle w:val="eop"/>
          <w:rFonts w:ascii="Arial" w:hAnsi="Arial"/>
          <w:color w:val="FF0000"/>
        </w:rPr>
        <w:t> </w:t>
      </w:r>
    </w:p>
    <w:p w14:paraId="33C0F22A" w14:textId="77777777" w:rsidR="00065DEA" w:rsidRDefault="00065DEA" w:rsidP="006F1DAB">
      <w:pPr>
        <w:pStyle w:val="paragraph"/>
        <w:spacing w:before="0" w:beforeAutospacing="0" w:after="0" w:afterAutospacing="0"/>
        <w:jc w:val="both"/>
        <w:textAlignment w:val="baseline"/>
        <w:rPr>
          <w:rStyle w:val="eop"/>
          <w:rFonts w:ascii="Arial" w:hAnsi="Arial"/>
          <w:color w:val="FF0000"/>
        </w:rPr>
      </w:pPr>
    </w:p>
    <w:p w14:paraId="0C170908" w14:textId="77777777" w:rsidR="00065DEA" w:rsidRDefault="00065DEA" w:rsidP="006F1DAB">
      <w:pPr>
        <w:pStyle w:val="paragraph"/>
        <w:spacing w:before="0" w:beforeAutospacing="0" w:after="0" w:afterAutospacing="0"/>
        <w:jc w:val="both"/>
        <w:textAlignment w:val="baseline"/>
        <w:rPr>
          <w:rFonts w:ascii="Segoe UI" w:hAnsi="Segoe UI" w:cs="Segoe UI"/>
          <w:sz w:val="18"/>
          <w:szCs w:val="18"/>
        </w:rPr>
      </w:pPr>
    </w:p>
    <w:p w14:paraId="6AC22E3A" w14:textId="77777777" w:rsidR="006F1DAB" w:rsidRDefault="00162F2E" w:rsidP="006F1DAB">
      <w:pPr>
        <w:pStyle w:val="paragraph"/>
        <w:spacing w:before="0" w:beforeAutospacing="0" w:after="0" w:afterAutospacing="0"/>
        <w:jc w:val="both"/>
        <w:textAlignment w:val="baseline"/>
        <w:rPr>
          <w:rStyle w:val="eop"/>
          <w:rFonts w:ascii="Arial" w:hAnsi="Arial"/>
        </w:rPr>
      </w:pPr>
      <w:r>
        <w:rPr>
          <w:rStyle w:val="normaltextrun"/>
          <w:rFonts w:ascii="Arial" w:hAnsi="Arial"/>
        </w:rPr>
        <w:lastRenderedPageBreak/>
        <w:t xml:space="preserve">The most significant factors contributing to </w:t>
      </w:r>
      <w:r w:rsidR="002175DF">
        <w:rPr>
          <w:rStyle w:val="normaltextrun"/>
          <w:rFonts w:ascii="Arial" w:hAnsi="Arial"/>
        </w:rPr>
        <w:t xml:space="preserve">the </w:t>
      </w:r>
      <w:r w:rsidR="00065DEA">
        <w:rPr>
          <w:rStyle w:val="normaltextrun"/>
          <w:rFonts w:ascii="Arial" w:hAnsi="Arial"/>
        </w:rPr>
        <w:t>movement</w:t>
      </w:r>
      <w:r>
        <w:rPr>
          <w:rStyle w:val="normaltextrun"/>
          <w:rFonts w:ascii="Arial" w:hAnsi="Arial"/>
        </w:rPr>
        <w:t xml:space="preserve"> </w:t>
      </w:r>
      <w:r w:rsidR="00F573A4">
        <w:rPr>
          <w:rStyle w:val="normaltextrun"/>
          <w:rFonts w:ascii="Arial" w:hAnsi="Arial"/>
        </w:rPr>
        <w:t>of £</w:t>
      </w:r>
      <w:r w:rsidR="00E40445">
        <w:rPr>
          <w:rStyle w:val="normaltextrun"/>
          <w:rFonts w:ascii="Arial" w:hAnsi="Arial"/>
        </w:rPr>
        <w:t xml:space="preserve">8.243m </w:t>
      </w:r>
      <w:r>
        <w:rPr>
          <w:rStyle w:val="normaltextrun"/>
          <w:rFonts w:ascii="Arial" w:hAnsi="Arial"/>
        </w:rPr>
        <w:t xml:space="preserve">since November (Q3) are </w:t>
      </w:r>
      <w:r w:rsidR="002502F5">
        <w:rPr>
          <w:rStyle w:val="normaltextrun"/>
          <w:rFonts w:ascii="Arial" w:hAnsi="Arial"/>
        </w:rPr>
        <w:t>as follows</w:t>
      </w:r>
      <w:r w:rsidR="004C6D70">
        <w:rPr>
          <w:rStyle w:val="normaltextrun"/>
          <w:rFonts w:ascii="Arial" w:hAnsi="Arial"/>
        </w:rPr>
        <w:t>: -</w:t>
      </w:r>
    </w:p>
    <w:p w14:paraId="36745B5C" w14:textId="77777777" w:rsidR="006A43CF" w:rsidRDefault="006A43CF" w:rsidP="006F1DAB">
      <w:pPr>
        <w:pStyle w:val="paragraph"/>
        <w:spacing w:before="0" w:beforeAutospacing="0" w:after="0" w:afterAutospacing="0"/>
        <w:jc w:val="both"/>
        <w:textAlignment w:val="baseline"/>
        <w:rPr>
          <w:rStyle w:val="eop"/>
          <w:rFonts w:ascii="Arial" w:hAnsi="Arial"/>
        </w:rPr>
      </w:pPr>
    </w:p>
    <w:p w14:paraId="28E1AEAB" w14:textId="77777777" w:rsidR="004F5B2F" w:rsidRDefault="00162F2E" w:rsidP="009733C6">
      <w:pPr>
        <w:pStyle w:val="paragraph"/>
        <w:numPr>
          <w:ilvl w:val="0"/>
          <w:numId w:val="49"/>
        </w:numPr>
        <w:spacing w:before="0" w:beforeAutospacing="0" w:after="0" w:afterAutospacing="0"/>
        <w:jc w:val="both"/>
        <w:textAlignment w:val="baseline"/>
        <w:rPr>
          <w:rFonts w:ascii="Arial" w:hAnsi="Arial" w:cs="Arial"/>
        </w:rPr>
      </w:pPr>
      <w:r w:rsidRPr="00E476C3">
        <w:rPr>
          <w:rFonts w:ascii="Arial" w:hAnsi="Arial" w:cs="Arial"/>
        </w:rPr>
        <w:t xml:space="preserve">Reduced </w:t>
      </w:r>
      <w:r w:rsidR="00AA29D0">
        <w:rPr>
          <w:rFonts w:ascii="Arial" w:hAnsi="Arial" w:cs="Arial"/>
        </w:rPr>
        <w:t>c</w:t>
      </w:r>
      <w:r w:rsidRPr="00E476C3">
        <w:rPr>
          <w:rFonts w:ascii="Arial" w:hAnsi="Arial" w:cs="Arial"/>
        </w:rPr>
        <w:t>ost of providing Home Care Service</w:t>
      </w:r>
      <w:r w:rsidR="009F739F" w:rsidRPr="00E476C3">
        <w:rPr>
          <w:rFonts w:ascii="Arial" w:hAnsi="Arial" w:cs="Arial"/>
        </w:rPr>
        <w:t xml:space="preserve">s </w:t>
      </w:r>
      <w:r w:rsidR="009F739F" w:rsidRPr="72666EB5">
        <w:rPr>
          <w:rFonts w:ascii="Arial" w:hAnsi="Arial" w:cs="Arial"/>
        </w:rPr>
        <w:t>£3.5m</w:t>
      </w:r>
      <w:r w:rsidR="00723040" w:rsidRPr="72666EB5">
        <w:rPr>
          <w:rFonts w:ascii="Arial" w:hAnsi="Arial" w:cs="Arial"/>
        </w:rPr>
        <w:t xml:space="preserve"> </w:t>
      </w:r>
    </w:p>
    <w:p w14:paraId="74F68C37" w14:textId="77777777" w:rsidR="00C83C0F" w:rsidRPr="00351A41" w:rsidRDefault="00162F2E" w:rsidP="006A43CF">
      <w:pPr>
        <w:pStyle w:val="paragraph"/>
        <w:numPr>
          <w:ilvl w:val="0"/>
          <w:numId w:val="49"/>
        </w:numPr>
        <w:spacing w:before="0" w:beforeAutospacing="0" w:after="0" w:afterAutospacing="0"/>
        <w:jc w:val="both"/>
        <w:textAlignment w:val="baseline"/>
        <w:rPr>
          <w:rFonts w:ascii="Arial" w:hAnsi="Arial" w:cs="Arial"/>
        </w:rPr>
      </w:pPr>
      <w:r w:rsidRPr="00351A41">
        <w:rPr>
          <w:rFonts w:ascii="Arial" w:hAnsi="Arial" w:cs="Arial"/>
        </w:rPr>
        <w:t xml:space="preserve">Reduced contribution to the </w:t>
      </w:r>
      <w:r w:rsidR="00C97228">
        <w:rPr>
          <w:rFonts w:ascii="Arial" w:hAnsi="Arial" w:cs="Arial"/>
        </w:rPr>
        <w:t xml:space="preserve">year-end </w:t>
      </w:r>
      <w:r w:rsidR="00F9756E">
        <w:rPr>
          <w:rFonts w:ascii="Arial" w:hAnsi="Arial" w:cs="Arial"/>
        </w:rPr>
        <w:t xml:space="preserve">adjustment to the </w:t>
      </w:r>
      <w:r w:rsidRPr="00351A41">
        <w:rPr>
          <w:rFonts w:ascii="Arial" w:hAnsi="Arial" w:cs="Arial"/>
        </w:rPr>
        <w:t xml:space="preserve">Provision for Bad Debts </w:t>
      </w:r>
      <w:r w:rsidRPr="72666EB5">
        <w:rPr>
          <w:rFonts w:ascii="Arial" w:hAnsi="Arial" w:cs="Arial"/>
        </w:rPr>
        <w:t>£1.5m</w:t>
      </w:r>
    </w:p>
    <w:p w14:paraId="316E1FBB" w14:textId="77777777" w:rsidR="00C5657B" w:rsidRDefault="00162F2E" w:rsidP="006A43CF">
      <w:pPr>
        <w:pStyle w:val="paragraph"/>
        <w:numPr>
          <w:ilvl w:val="0"/>
          <w:numId w:val="49"/>
        </w:numPr>
        <w:spacing w:before="0" w:beforeAutospacing="0" w:after="0" w:afterAutospacing="0"/>
        <w:jc w:val="both"/>
        <w:textAlignment w:val="baseline"/>
        <w:rPr>
          <w:rFonts w:ascii="Arial" w:hAnsi="Arial" w:cs="Arial"/>
        </w:rPr>
      </w:pPr>
      <w:r w:rsidRPr="00351A41">
        <w:rPr>
          <w:rFonts w:ascii="Arial" w:hAnsi="Arial" w:cs="Arial"/>
        </w:rPr>
        <w:t xml:space="preserve">Further reduced expenditure </w:t>
      </w:r>
      <w:r w:rsidR="00DE7124" w:rsidRPr="00351A41">
        <w:rPr>
          <w:rFonts w:ascii="Arial" w:hAnsi="Arial" w:cs="Arial"/>
        </w:rPr>
        <w:t xml:space="preserve">via Direct </w:t>
      </w:r>
      <w:r>
        <w:rPr>
          <w:rFonts w:ascii="Arial" w:hAnsi="Arial" w:cs="Arial"/>
        </w:rPr>
        <w:t>Payments due to service users'</w:t>
      </w:r>
      <w:r w:rsidR="00A822DC">
        <w:rPr>
          <w:rFonts w:ascii="Arial" w:hAnsi="Arial" w:cs="Arial"/>
        </w:rPr>
        <w:t xml:space="preserve"> </w:t>
      </w:r>
      <w:r>
        <w:rPr>
          <w:rFonts w:ascii="Arial" w:hAnsi="Arial" w:cs="Arial"/>
        </w:rPr>
        <w:t xml:space="preserve">lower level of spend on </w:t>
      </w:r>
      <w:r w:rsidR="00A822DC">
        <w:rPr>
          <w:rFonts w:ascii="Arial" w:hAnsi="Arial" w:cs="Arial"/>
        </w:rPr>
        <w:t>non-critical</w:t>
      </w:r>
      <w:r>
        <w:rPr>
          <w:rFonts w:ascii="Arial" w:hAnsi="Arial" w:cs="Arial"/>
        </w:rPr>
        <w:t xml:space="preserve"> services</w:t>
      </w:r>
    </w:p>
    <w:p w14:paraId="68C40540" w14:textId="77777777" w:rsidR="00992B9C" w:rsidRPr="00A1384D" w:rsidRDefault="00162F2E" w:rsidP="00A1384D">
      <w:pPr>
        <w:pStyle w:val="paragraph"/>
        <w:numPr>
          <w:ilvl w:val="0"/>
          <w:numId w:val="49"/>
        </w:numPr>
        <w:spacing w:before="0" w:beforeAutospacing="0" w:after="0" w:afterAutospacing="0"/>
        <w:jc w:val="both"/>
        <w:textAlignment w:val="baseline"/>
        <w:rPr>
          <w:rFonts w:ascii="Arial" w:hAnsi="Arial" w:cs="Arial"/>
        </w:rPr>
      </w:pPr>
      <w:r>
        <w:rPr>
          <w:rFonts w:ascii="Arial" w:hAnsi="Arial" w:cs="Arial"/>
        </w:rPr>
        <w:t xml:space="preserve">Impact of Omicron </w:t>
      </w:r>
      <w:r w:rsidR="00EB2D36">
        <w:rPr>
          <w:rFonts w:ascii="Arial" w:hAnsi="Arial" w:cs="Arial"/>
        </w:rPr>
        <w:t>COVID variant</w:t>
      </w:r>
      <w:r w:rsidR="007C6F13">
        <w:rPr>
          <w:rFonts w:ascii="Arial" w:hAnsi="Arial" w:cs="Arial"/>
        </w:rPr>
        <w:t xml:space="preserve"> occurring in the final quarter</w:t>
      </w:r>
      <w:r w:rsidR="008E7241">
        <w:rPr>
          <w:rFonts w:ascii="Arial" w:hAnsi="Arial" w:cs="Arial"/>
        </w:rPr>
        <w:t xml:space="preserve"> of the year</w:t>
      </w:r>
    </w:p>
    <w:p w14:paraId="430A4A8E" w14:textId="77777777" w:rsidR="009F739F" w:rsidRDefault="009F739F" w:rsidP="00351A41">
      <w:pPr>
        <w:pStyle w:val="paragraph"/>
        <w:spacing w:before="0" w:beforeAutospacing="0" w:after="0" w:afterAutospacing="0"/>
        <w:ind w:left="720"/>
        <w:jc w:val="both"/>
        <w:textAlignment w:val="baseline"/>
        <w:rPr>
          <w:rFonts w:ascii="Segoe UI" w:hAnsi="Segoe UI" w:cs="Segoe UI"/>
          <w:sz w:val="18"/>
          <w:szCs w:val="18"/>
        </w:rPr>
      </w:pPr>
    </w:p>
    <w:p w14:paraId="7CDB0F69" w14:textId="77777777" w:rsidR="00121033" w:rsidRDefault="00162F2E" w:rsidP="006F1DAB">
      <w:pPr>
        <w:pStyle w:val="paragraph"/>
        <w:spacing w:before="0" w:beforeAutospacing="0" w:after="0" w:afterAutospacing="0"/>
        <w:jc w:val="both"/>
        <w:textAlignment w:val="baseline"/>
        <w:rPr>
          <w:rStyle w:val="normaltextrun"/>
          <w:rFonts w:ascii="Arial" w:hAnsi="Arial"/>
        </w:rPr>
      </w:pPr>
      <w:r>
        <w:rPr>
          <w:rStyle w:val="normaltextrun"/>
          <w:rFonts w:ascii="Arial" w:hAnsi="Arial"/>
        </w:rPr>
        <w:t xml:space="preserve">The big issues that will pose the greatest financial risk for </w:t>
      </w:r>
      <w:r w:rsidR="00AD64C7">
        <w:rPr>
          <w:rStyle w:val="normaltextrun"/>
          <w:rFonts w:ascii="Arial" w:hAnsi="Arial"/>
        </w:rPr>
        <w:t xml:space="preserve"> </w:t>
      </w:r>
      <w:r>
        <w:rPr>
          <w:rStyle w:val="normaltextrun"/>
          <w:rFonts w:ascii="Arial" w:hAnsi="Arial"/>
        </w:rPr>
        <w:t xml:space="preserve">the service in maintaining this balanced budget position are historic service demand volatility </w:t>
      </w:r>
      <w:r w:rsidR="00B759B1">
        <w:rPr>
          <w:rStyle w:val="normaltextrun"/>
          <w:rFonts w:ascii="Arial" w:hAnsi="Arial"/>
        </w:rPr>
        <w:t>(</w:t>
      </w:r>
      <w:r>
        <w:rPr>
          <w:rStyle w:val="normaltextrun"/>
          <w:rFonts w:ascii="Arial" w:hAnsi="Arial"/>
        </w:rPr>
        <w:t>now also exacerbated by the pandemic</w:t>
      </w:r>
      <w:r w:rsidR="00B759B1">
        <w:rPr>
          <w:rStyle w:val="normaltextrun"/>
          <w:rFonts w:ascii="Arial" w:hAnsi="Arial"/>
        </w:rPr>
        <w:t>)</w:t>
      </w:r>
      <w:r>
        <w:rPr>
          <w:rStyle w:val="normaltextrun"/>
          <w:rFonts w:ascii="Arial" w:hAnsi="Arial"/>
        </w:rPr>
        <w:t xml:space="preserve"> and increased levels of price inflation</w:t>
      </w:r>
      <w:r w:rsidR="00B82DF5">
        <w:rPr>
          <w:rStyle w:val="normaltextrun"/>
          <w:rFonts w:ascii="Arial" w:hAnsi="Arial"/>
        </w:rPr>
        <w:t xml:space="preserve">.  These are </w:t>
      </w:r>
      <w:r w:rsidR="007A5EEE">
        <w:rPr>
          <w:rStyle w:val="normaltextrun"/>
          <w:rFonts w:ascii="Arial" w:hAnsi="Arial"/>
        </w:rPr>
        <w:t xml:space="preserve">driven </w:t>
      </w:r>
      <w:r>
        <w:rPr>
          <w:rStyle w:val="normaltextrun"/>
          <w:rFonts w:ascii="Arial" w:hAnsi="Arial"/>
        </w:rPr>
        <w:t xml:space="preserve">partly by the resourcing </w:t>
      </w:r>
      <w:r w:rsidR="00AD64C7">
        <w:rPr>
          <w:rStyle w:val="normaltextrun"/>
          <w:rFonts w:ascii="Arial" w:hAnsi="Arial"/>
        </w:rPr>
        <w:t xml:space="preserve">challenge </w:t>
      </w:r>
      <w:r>
        <w:rPr>
          <w:rStyle w:val="normaltextrun"/>
          <w:rFonts w:ascii="Arial" w:hAnsi="Arial"/>
        </w:rPr>
        <w:t>in the care sector, partly general economic inflation over and above the Government's target of 2% and partly due to the potential impact of the Fair Cost of Care.</w:t>
      </w:r>
    </w:p>
    <w:p w14:paraId="7AEB2993" w14:textId="77777777" w:rsidR="006F1DAB" w:rsidRDefault="00162F2E" w:rsidP="006F1DA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 </w:t>
      </w:r>
      <w:r>
        <w:rPr>
          <w:rStyle w:val="eop"/>
          <w:rFonts w:ascii="Arial" w:hAnsi="Arial"/>
        </w:rPr>
        <w:t> </w:t>
      </w:r>
    </w:p>
    <w:p w14:paraId="2AA6E51D" w14:textId="77777777" w:rsidR="006F1DAB" w:rsidRDefault="00162F2E" w:rsidP="00574687">
      <w:pPr>
        <w:pStyle w:val="paragraph"/>
        <w:spacing w:before="0" w:beforeAutospacing="0" w:after="0" w:afterAutospacing="0"/>
        <w:jc w:val="both"/>
        <w:textAlignment w:val="baseline"/>
        <w:rPr>
          <w:rFonts w:ascii="Arial" w:hAnsi="Arial" w:cs="Arial"/>
          <w:color w:val="000000"/>
        </w:rPr>
      </w:pPr>
      <w:r>
        <w:rPr>
          <w:rStyle w:val="normaltextrun"/>
          <w:rFonts w:ascii="Arial" w:hAnsi="Arial"/>
          <w:b/>
          <w:bCs/>
          <w:color w:val="000000"/>
        </w:rPr>
        <w:t xml:space="preserve">Adult Services – Summary </w:t>
      </w:r>
      <w:r w:rsidR="00000CF0">
        <w:rPr>
          <w:rStyle w:val="normaltextrun"/>
          <w:rFonts w:ascii="Arial" w:hAnsi="Arial"/>
          <w:b/>
          <w:bCs/>
          <w:color w:val="000000"/>
        </w:rPr>
        <w:t>of</w:t>
      </w:r>
      <w:r>
        <w:rPr>
          <w:rStyle w:val="normaltextrun"/>
          <w:rFonts w:ascii="Arial" w:hAnsi="Arial"/>
          <w:b/>
          <w:bCs/>
          <w:color w:val="000000"/>
        </w:rPr>
        <w:t xml:space="preserve"> Budget Savings Targets Outturn 2021/22</w:t>
      </w:r>
      <w:r>
        <w:rPr>
          <w:rStyle w:val="eop"/>
          <w:rFonts w:ascii="Arial" w:hAnsi="Arial"/>
          <w:color w:val="000000"/>
        </w:rPr>
        <w:t> </w:t>
      </w:r>
    </w:p>
    <w:p w14:paraId="5FB054FD" w14:textId="77777777" w:rsidR="006F1DAB" w:rsidRDefault="00162F2E" w:rsidP="006F1DA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olor w:val="FF0000"/>
        </w:rPr>
        <w:t> </w:t>
      </w:r>
    </w:p>
    <w:p w14:paraId="0AB94462" w14:textId="77777777" w:rsidR="006F1DAB" w:rsidRDefault="00162F2E" w:rsidP="006F1DAB">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Arial" w:hAnsi="Arial"/>
        </w:rPr>
        <w:t xml:space="preserve">As previously reported, the focus on service delivery during 2020 and 2021 has significantly hindered </w:t>
      </w:r>
      <w:r w:rsidR="004021F1">
        <w:rPr>
          <w:rStyle w:val="normaltextrun"/>
          <w:rFonts w:ascii="Arial" w:hAnsi="Arial"/>
        </w:rPr>
        <w:t xml:space="preserve">the </w:t>
      </w:r>
      <w:r>
        <w:rPr>
          <w:rStyle w:val="normaltextrun"/>
          <w:rFonts w:ascii="Arial" w:hAnsi="Arial"/>
        </w:rPr>
        <w:t xml:space="preserve">progress </w:t>
      </w:r>
      <w:r w:rsidR="004021F1">
        <w:rPr>
          <w:rStyle w:val="normaltextrun"/>
          <w:rFonts w:ascii="Arial" w:hAnsi="Arial"/>
        </w:rPr>
        <w:t>of</w:t>
      </w:r>
      <w:r>
        <w:rPr>
          <w:rStyle w:val="normaltextrun"/>
          <w:rFonts w:ascii="Arial" w:hAnsi="Arial"/>
        </w:rPr>
        <w:t xml:space="preserve"> service re-engineering projects required to meet the approved budget savings already factored into the Directorate's budget.  That said, activity to improve the level of receipts from the NHS for Joint Funded packages of care has been able to continue exceed</w:t>
      </w:r>
      <w:r w:rsidR="0090632F">
        <w:rPr>
          <w:rStyle w:val="normaltextrun"/>
          <w:rFonts w:ascii="Arial" w:hAnsi="Arial"/>
        </w:rPr>
        <w:t>ing</w:t>
      </w:r>
      <w:r>
        <w:rPr>
          <w:rStyle w:val="normaltextrun"/>
          <w:rFonts w:ascii="Arial" w:hAnsi="Arial"/>
        </w:rPr>
        <w:t xml:space="preserve"> its target by £2.8m and therefore </w:t>
      </w:r>
      <w:r w:rsidR="002E4E77">
        <w:rPr>
          <w:rStyle w:val="normaltextrun"/>
          <w:rFonts w:ascii="Arial" w:hAnsi="Arial"/>
        </w:rPr>
        <w:t>it</w:t>
      </w:r>
      <w:r>
        <w:rPr>
          <w:rStyle w:val="normaltextrun"/>
          <w:rFonts w:ascii="Arial" w:hAnsi="Arial"/>
        </w:rPr>
        <w:t xml:space="preserve"> </w:t>
      </w:r>
      <w:r w:rsidR="00D82E57">
        <w:rPr>
          <w:rStyle w:val="normaltextrun"/>
          <w:rFonts w:ascii="Arial" w:hAnsi="Arial"/>
        </w:rPr>
        <w:t xml:space="preserve">is </w:t>
      </w:r>
      <w:r>
        <w:rPr>
          <w:rStyle w:val="normaltextrun"/>
          <w:rFonts w:ascii="Arial" w:hAnsi="Arial"/>
        </w:rPr>
        <w:t>helping to off-set the impact of delayed savings in 2021/22. </w:t>
      </w:r>
      <w:r>
        <w:rPr>
          <w:rStyle w:val="eop"/>
          <w:rFonts w:ascii="Arial" w:hAnsi="Arial"/>
        </w:rPr>
        <w:t> </w:t>
      </w:r>
    </w:p>
    <w:p w14:paraId="0081083F" w14:textId="77777777" w:rsidR="006F1DAB" w:rsidRDefault="00162F2E" w:rsidP="006F1DAB">
      <w:pPr>
        <w:pStyle w:val="paragraph"/>
        <w:spacing w:before="0" w:beforeAutospacing="0" w:after="0" w:afterAutospacing="0"/>
        <w:ind w:right="-90"/>
        <w:jc w:val="both"/>
        <w:textAlignment w:val="baseline"/>
        <w:rPr>
          <w:rFonts w:ascii="Segoe UI" w:hAnsi="Segoe UI" w:cs="Segoe UI"/>
          <w:sz w:val="18"/>
          <w:szCs w:val="18"/>
        </w:rPr>
      </w:pPr>
      <w:r>
        <w:rPr>
          <w:rStyle w:val="eop"/>
          <w:rFonts w:ascii="Arial" w:hAnsi="Arial"/>
        </w:rPr>
        <w:t> </w:t>
      </w:r>
    </w:p>
    <w:p w14:paraId="7126058B" w14:textId="77777777" w:rsidR="006F1DAB" w:rsidRDefault="00162F2E" w:rsidP="006F1DAB">
      <w:pPr>
        <w:pStyle w:val="paragraph"/>
        <w:spacing w:before="0" w:beforeAutospacing="0" w:after="0" w:afterAutospacing="0"/>
        <w:ind w:right="-90"/>
        <w:jc w:val="both"/>
        <w:textAlignment w:val="baseline"/>
        <w:rPr>
          <w:rFonts w:ascii="Segoe UI" w:hAnsi="Segoe UI" w:cs="Segoe UI"/>
          <w:sz w:val="18"/>
          <w:szCs w:val="18"/>
        </w:rPr>
      </w:pPr>
      <w:r>
        <w:rPr>
          <w:rStyle w:val="normaltextrun"/>
          <w:rFonts w:ascii="Arial" w:hAnsi="Arial"/>
        </w:rPr>
        <w:t xml:space="preserve">Uncommitted Direct Payments </w:t>
      </w:r>
      <w:r w:rsidR="009A4C3F">
        <w:rPr>
          <w:rStyle w:val="normaltextrun"/>
          <w:rFonts w:ascii="Arial" w:hAnsi="Arial"/>
        </w:rPr>
        <w:t>have</w:t>
      </w:r>
      <w:r>
        <w:rPr>
          <w:rStyle w:val="normaltextrun"/>
          <w:rFonts w:ascii="Arial" w:hAnsi="Arial"/>
        </w:rPr>
        <w:t xml:space="preserve"> increased this year as service users have not been able, or reluctant, to buy into some services that have been temporarily closed for periods or require social distancing.  This has reduced expenditure by an additional £9.6m over the baseline during the year which also reduces the impact of delayed budget savings.</w:t>
      </w:r>
      <w:r>
        <w:rPr>
          <w:rStyle w:val="eop"/>
          <w:rFonts w:ascii="Arial" w:hAnsi="Arial"/>
        </w:rPr>
        <w:t> </w:t>
      </w:r>
    </w:p>
    <w:p w14:paraId="5AAF893A" w14:textId="77777777" w:rsidR="006F1DAB" w:rsidRDefault="00162F2E" w:rsidP="006F1DAB">
      <w:pPr>
        <w:pStyle w:val="paragraph"/>
        <w:spacing w:before="0" w:beforeAutospacing="0" w:after="0" w:afterAutospacing="0"/>
        <w:ind w:right="-90"/>
        <w:jc w:val="both"/>
        <w:textAlignment w:val="baseline"/>
        <w:rPr>
          <w:rFonts w:ascii="Segoe UI" w:hAnsi="Segoe UI" w:cs="Segoe UI"/>
          <w:sz w:val="18"/>
          <w:szCs w:val="18"/>
        </w:rPr>
      </w:pPr>
      <w:r>
        <w:rPr>
          <w:rStyle w:val="eop"/>
          <w:rFonts w:ascii="Arial" w:hAnsi="Arial"/>
          <w:color w:val="FF0000"/>
        </w:rPr>
        <w:t> </w:t>
      </w:r>
    </w:p>
    <w:p w14:paraId="1B305276" w14:textId="77777777" w:rsidR="006F1DAB" w:rsidRDefault="00162F2E" w:rsidP="006F1DA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The total of savings targets incorporated across all Adult Services budgets and outstanding as at 2021/22 was £26.806m.  The full year effect of savings achieved in 2021/22 totalled (£4.685m) equating to 17.5%.  This leaves a balance of £17.974m current</w:t>
      </w:r>
      <w:r w:rsidR="00061C5C">
        <w:rPr>
          <w:rStyle w:val="normaltextrun"/>
          <w:rFonts w:ascii="Arial" w:hAnsi="Arial"/>
        </w:rPr>
        <w:t xml:space="preserve">ly </w:t>
      </w:r>
      <w:r w:rsidR="00CA49AE">
        <w:rPr>
          <w:rStyle w:val="normaltextrun"/>
          <w:rFonts w:ascii="Arial" w:hAnsi="Arial"/>
        </w:rPr>
        <w:t>factored into</w:t>
      </w:r>
      <w:r>
        <w:rPr>
          <w:rStyle w:val="normaltextrun"/>
          <w:rFonts w:ascii="Arial" w:hAnsi="Arial"/>
        </w:rPr>
        <w:t xml:space="preserve"> the </w:t>
      </w:r>
      <w:r w:rsidR="00A90B33">
        <w:rPr>
          <w:rStyle w:val="normaltextrun"/>
          <w:rFonts w:ascii="Arial" w:hAnsi="Arial"/>
        </w:rPr>
        <w:t>base</w:t>
      </w:r>
      <w:r>
        <w:rPr>
          <w:rStyle w:val="normaltextrun"/>
          <w:rFonts w:ascii="Arial" w:hAnsi="Arial"/>
        </w:rPr>
        <w:t xml:space="preserve"> budget for 2022/23 that is outstanding</w:t>
      </w:r>
      <w:r w:rsidR="00FE131C">
        <w:rPr>
          <w:rStyle w:val="normaltextrun"/>
          <w:rFonts w:ascii="Arial" w:hAnsi="Arial"/>
        </w:rPr>
        <w:t>.</w:t>
      </w:r>
      <w:r>
        <w:rPr>
          <w:rStyle w:val="normaltextrun"/>
          <w:rFonts w:ascii="Arial" w:hAnsi="Arial"/>
        </w:rPr>
        <w:t xml:space="preserve"> </w:t>
      </w:r>
      <w:r w:rsidR="003B4AC3">
        <w:rPr>
          <w:rStyle w:val="normaltextrun"/>
          <w:rFonts w:ascii="Arial" w:hAnsi="Arial"/>
        </w:rPr>
        <w:t xml:space="preserve"> </w:t>
      </w:r>
      <w:r w:rsidR="008C2D10">
        <w:rPr>
          <w:rStyle w:val="normaltextrun"/>
          <w:rFonts w:ascii="Arial" w:hAnsi="Arial"/>
        </w:rPr>
        <w:t xml:space="preserve">The outstanding amount </w:t>
      </w:r>
      <w:r w:rsidR="00E82F09">
        <w:rPr>
          <w:rStyle w:val="normaltextrun"/>
          <w:rFonts w:ascii="Arial" w:hAnsi="Arial"/>
        </w:rPr>
        <w:t>will</w:t>
      </w:r>
      <w:r>
        <w:rPr>
          <w:rStyle w:val="normaltextrun"/>
          <w:rFonts w:ascii="Arial" w:hAnsi="Arial"/>
        </w:rPr>
        <w:t xml:space="preserve"> be either achieved in 2022/23 or re-profiled into future years.  </w:t>
      </w:r>
      <w:r w:rsidR="00FD4FB8">
        <w:rPr>
          <w:rStyle w:val="normaltextrun"/>
          <w:rFonts w:ascii="Arial" w:hAnsi="Arial"/>
        </w:rPr>
        <w:t>Th</w:t>
      </w:r>
      <w:r w:rsidR="00AD64C7">
        <w:rPr>
          <w:rStyle w:val="normaltextrun"/>
          <w:rFonts w:ascii="Arial" w:hAnsi="Arial"/>
        </w:rPr>
        <w:t xml:space="preserve">is </w:t>
      </w:r>
      <w:r w:rsidR="00FD4FB8">
        <w:rPr>
          <w:rStyle w:val="normaltextrun"/>
          <w:rFonts w:ascii="Arial" w:hAnsi="Arial"/>
        </w:rPr>
        <w:t xml:space="preserve">also </w:t>
      </w:r>
      <w:r w:rsidR="00AD64C7">
        <w:rPr>
          <w:rStyle w:val="normaltextrun"/>
          <w:rFonts w:ascii="Arial" w:hAnsi="Arial"/>
        </w:rPr>
        <w:t xml:space="preserve">includes </w:t>
      </w:r>
      <w:r w:rsidR="00F16E8C">
        <w:rPr>
          <w:rStyle w:val="normaltextrun"/>
          <w:rFonts w:ascii="Arial" w:hAnsi="Arial"/>
        </w:rPr>
        <w:t>step</w:t>
      </w:r>
      <w:r w:rsidR="009F7584">
        <w:rPr>
          <w:rStyle w:val="normaltextrun"/>
          <w:rFonts w:ascii="Arial" w:hAnsi="Arial"/>
        </w:rPr>
        <w:t>-</w:t>
      </w:r>
      <w:r w:rsidR="00F16E8C">
        <w:rPr>
          <w:rStyle w:val="normaltextrun"/>
          <w:rFonts w:ascii="Arial" w:hAnsi="Arial"/>
        </w:rPr>
        <w:t xml:space="preserve">up savings </w:t>
      </w:r>
      <w:r w:rsidR="006717D0">
        <w:rPr>
          <w:rStyle w:val="normaltextrun"/>
          <w:rFonts w:ascii="Arial" w:hAnsi="Arial"/>
        </w:rPr>
        <w:t>for</w:t>
      </w:r>
      <w:r w:rsidR="00F16E8C">
        <w:rPr>
          <w:rStyle w:val="normaltextrun"/>
          <w:rFonts w:ascii="Arial" w:hAnsi="Arial"/>
        </w:rPr>
        <w:t xml:space="preserve"> future years of </w:t>
      </w:r>
      <w:r>
        <w:rPr>
          <w:rStyle w:val="normaltextrun"/>
          <w:rFonts w:ascii="Arial" w:hAnsi="Arial"/>
        </w:rPr>
        <w:t>£4.147m. </w:t>
      </w:r>
      <w:r>
        <w:rPr>
          <w:rStyle w:val="eop"/>
          <w:rFonts w:ascii="Arial" w:hAnsi="Arial"/>
        </w:rPr>
        <w:t> </w:t>
      </w:r>
    </w:p>
    <w:p w14:paraId="27D82AEC" w14:textId="77777777" w:rsidR="006F1DAB" w:rsidRDefault="00162F2E" w:rsidP="006F1DA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rPr>
        <w:t> </w:t>
      </w:r>
    </w:p>
    <w:p w14:paraId="2AF36019" w14:textId="77777777" w:rsidR="00D10794" w:rsidRPr="002B2E58" w:rsidRDefault="00162F2E" w:rsidP="002B2E5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 xml:space="preserve">In 2022/23 an adjustment of £8.5m has been included in the budget for one year only to </w:t>
      </w:r>
      <w:r w:rsidR="006A4F1C">
        <w:rPr>
          <w:rStyle w:val="normaltextrun"/>
          <w:rFonts w:ascii="Arial" w:hAnsi="Arial"/>
        </w:rPr>
        <w:t xml:space="preserve">reflect a later profile of delivery whilst the </w:t>
      </w:r>
      <w:r>
        <w:rPr>
          <w:rStyle w:val="normaltextrun"/>
          <w:rFonts w:ascii="Arial" w:hAnsi="Arial"/>
        </w:rPr>
        <w:t>directorate returns to business as usual.</w:t>
      </w:r>
      <w:r>
        <w:rPr>
          <w:rStyle w:val="eop"/>
          <w:rFonts w:ascii="Arial" w:hAnsi="Arial"/>
        </w:rPr>
        <w:t> </w:t>
      </w:r>
    </w:p>
    <w:p w14:paraId="6DE8E577" w14:textId="77777777" w:rsidR="00B03730" w:rsidRDefault="00B03730" w:rsidP="00D10794">
      <w:pPr>
        <w:spacing w:after="0"/>
        <w:rPr>
          <w:rFonts w:cs="Arial"/>
          <w:highlight w:val="yellow"/>
        </w:rPr>
      </w:pPr>
    </w:p>
    <w:p w14:paraId="1AB7EE89" w14:textId="77777777" w:rsidR="00FE7CD9" w:rsidRPr="00E32EE1" w:rsidRDefault="00162F2E" w:rsidP="00E32EE1">
      <w:pPr>
        <w:tabs>
          <w:tab w:val="left" w:pos="1418"/>
        </w:tabs>
        <w:spacing w:after="0"/>
        <w:rPr>
          <w:rFonts w:cs="Arial"/>
          <w:b/>
          <w:bCs/>
        </w:rPr>
      </w:pPr>
      <w:r w:rsidRPr="00E32EE1">
        <w:rPr>
          <w:rFonts w:cs="Arial"/>
          <w:b/>
          <w:bCs/>
        </w:rPr>
        <w:t xml:space="preserve">Actual Outturn Net Expenditure Comparison </w:t>
      </w:r>
      <w:r w:rsidR="00A25884">
        <w:rPr>
          <w:rFonts w:cs="Arial"/>
          <w:b/>
          <w:bCs/>
        </w:rPr>
        <w:t>to</w:t>
      </w:r>
      <w:r w:rsidRPr="00E32EE1">
        <w:rPr>
          <w:rFonts w:cs="Arial"/>
          <w:b/>
          <w:bCs/>
        </w:rPr>
        <w:t xml:space="preserve"> Budget </w:t>
      </w:r>
      <w:r w:rsidR="00A25884">
        <w:rPr>
          <w:rFonts w:cs="Arial"/>
          <w:b/>
          <w:bCs/>
        </w:rPr>
        <w:t>a</w:t>
      </w:r>
      <w:r w:rsidRPr="00E32EE1">
        <w:rPr>
          <w:rFonts w:cs="Arial"/>
          <w:b/>
          <w:bCs/>
        </w:rPr>
        <w:t xml:space="preserve">nd Forecasted </w:t>
      </w:r>
      <w:r w:rsidR="0018418B">
        <w:rPr>
          <w:rFonts w:cs="Arial"/>
          <w:b/>
          <w:bCs/>
        </w:rPr>
        <w:t>at</w:t>
      </w:r>
      <w:r w:rsidRPr="00E32EE1">
        <w:rPr>
          <w:rFonts w:cs="Arial"/>
          <w:b/>
          <w:bCs/>
        </w:rPr>
        <w:t xml:space="preserve"> Quarter 3</w:t>
      </w:r>
    </w:p>
    <w:p w14:paraId="1D46AB41" w14:textId="77777777" w:rsidR="00B03730" w:rsidRDefault="00B03730" w:rsidP="00D10794">
      <w:pPr>
        <w:spacing w:after="0"/>
        <w:rPr>
          <w:rFonts w:cs="Arial"/>
          <w:highlight w:val="yellow"/>
        </w:rPr>
      </w:pPr>
    </w:p>
    <w:p w14:paraId="3B2499E8" w14:textId="77777777" w:rsidR="00D10794" w:rsidRPr="002B2E58" w:rsidRDefault="00162F2E" w:rsidP="00D10794">
      <w:pPr>
        <w:spacing w:after="0"/>
        <w:rPr>
          <w:rFonts w:cs="Arial"/>
        </w:rPr>
      </w:pPr>
      <w:r w:rsidRPr="002B2E58">
        <w:rPr>
          <w:rFonts w:cs="Arial"/>
        </w:rPr>
        <w:t>The most significant variances within the directorate are as follows:</w:t>
      </w:r>
      <w:r w:rsidR="004C6D70">
        <w:rPr>
          <w:rFonts w:cs="Arial"/>
        </w:rPr>
        <w:t xml:space="preserve"> -</w:t>
      </w:r>
    </w:p>
    <w:p w14:paraId="3409518F" w14:textId="77777777" w:rsidR="00642D26" w:rsidRPr="00812801" w:rsidRDefault="00642D26" w:rsidP="00D10794">
      <w:pPr>
        <w:spacing w:after="0"/>
        <w:contextualSpacing/>
        <w:rPr>
          <w:rFonts w:cs="Arial"/>
          <w:i/>
          <w:color w:val="FF0000"/>
          <w:highlight w:val="yellow"/>
        </w:rPr>
      </w:pPr>
    </w:p>
    <w:p w14:paraId="261BD99C" w14:textId="77777777" w:rsidR="00D10794" w:rsidRPr="00FE3E06" w:rsidRDefault="00162F2E" w:rsidP="00D10794">
      <w:pPr>
        <w:tabs>
          <w:tab w:val="left" w:pos="0"/>
          <w:tab w:val="left" w:pos="1418"/>
        </w:tabs>
        <w:spacing w:after="0"/>
        <w:contextualSpacing/>
        <w:rPr>
          <w:rFonts w:cs="Arial"/>
          <w:b/>
        </w:rPr>
      </w:pPr>
      <w:r w:rsidRPr="00FE3E06">
        <w:rPr>
          <w:rFonts w:cs="Arial"/>
          <w:b/>
        </w:rPr>
        <w:t xml:space="preserve">Disability Care Service (Adults) – </w:t>
      </w:r>
      <w:r w:rsidR="004C7762">
        <w:rPr>
          <w:rFonts w:cs="Arial"/>
          <w:b/>
        </w:rPr>
        <w:t>U</w:t>
      </w:r>
      <w:r w:rsidR="002A7277" w:rsidRPr="00FE3E06">
        <w:rPr>
          <w:rFonts w:cs="Arial"/>
          <w:b/>
        </w:rPr>
        <w:t>nder</w:t>
      </w:r>
      <w:r w:rsidRPr="00FE3E06">
        <w:rPr>
          <w:rFonts w:cs="Arial"/>
          <w:b/>
        </w:rPr>
        <w:t>spend £</w:t>
      </w:r>
      <w:r w:rsidR="00206E54">
        <w:rPr>
          <w:rFonts w:cs="Arial"/>
          <w:b/>
        </w:rPr>
        <w:t>0.</w:t>
      </w:r>
      <w:r w:rsidR="002A7277" w:rsidRPr="00FE3E06">
        <w:rPr>
          <w:rFonts w:cs="Arial"/>
          <w:b/>
        </w:rPr>
        <w:t>948</w:t>
      </w:r>
      <w:r w:rsidR="00206E54">
        <w:rPr>
          <w:rFonts w:cs="Arial"/>
          <w:b/>
        </w:rPr>
        <w:t>m</w:t>
      </w:r>
    </w:p>
    <w:p w14:paraId="15780E9D" w14:textId="77777777" w:rsidR="00D10794" w:rsidRPr="00812801" w:rsidRDefault="00D10794" w:rsidP="00D10794">
      <w:pPr>
        <w:spacing w:after="0"/>
        <w:rPr>
          <w:highlight w:val="yellow"/>
        </w:rPr>
      </w:pPr>
    </w:p>
    <w:p w14:paraId="39D567D0" w14:textId="77777777" w:rsidR="00A22302" w:rsidRPr="00FE3E06" w:rsidRDefault="00162F2E" w:rsidP="00A22302">
      <w:pPr>
        <w:spacing w:after="0"/>
      </w:pPr>
      <w:r w:rsidRPr="00FE3E06">
        <w:t xml:space="preserve">These services are predominantly delivered to adults aged 18 to 65 yrs. The great majority of people using these services have learning disabilities, often in </w:t>
      </w:r>
      <w:r w:rsidRPr="00FE3E06">
        <w:lastRenderedPageBreak/>
        <w:t>combination with physical disability or complex health conditions.  The services delivered include Short Break services, Supported living, Day Services, Enablement, Employment Support and Shared Lives.</w:t>
      </w:r>
    </w:p>
    <w:p w14:paraId="4AFC7B0A" w14:textId="77777777" w:rsidR="00A22302" w:rsidRDefault="00A22302" w:rsidP="00D10794">
      <w:pPr>
        <w:spacing w:after="0"/>
        <w:rPr>
          <w:rStyle w:val="normaltextrun"/>
          <w:rFonts w:cs="Arial"/>
          <w:shd w:val="clear" w:color="auto" w:fill="FFFFFF"/>
        </w:rPr>
      </w:pPr>
    </w:p>
    <w:p w14:paraId="53091EBA" w14:textId="77777777" w:rsidR="00D10794" w:rsidRDefault="00162F2E" w:rsidP="00D10794">
      <w:pPr>
        <w:spacing w:after="0"/>
        <w:rPr>
          <w:rStyle w:val="normaltextrun"/>
          <w:rFonts w:cs="Arial"/>
          <w:shd w:val="clear" w:color="auto" w:fill="FFFFFF"/>
        </w:rPr>
      </w:pPr>
      <w:r>
        <w:rPr>
          <w:rStyle w:val="normaltextrun"/>
          <w:rFonts w:cs="Arial"/>
          <w:shd w:val="clear" w:color="auto" w:fill="FFFFFF"/>
        </w:rPr>
        <w:t xml:space="preserve">The </w:t>
      </w:r>
      <w:r w:rsidR="00BE25B2">
        <w:rPr>
          <w:rStyle w:val="normaltextrun"/>
          <w:rFonts w:cs="Arial"/>
          <w:shd w:val="clear" w:color="auto" w:fill="FFFFFF"/>
        </w:rPr>
        <w:t>outturn</w:t>
      </w:r>
      <w:r>
        <w:rPr>
          <w:rStyle w:val="normaltextrun"/>
          <w:rFonts w:cs="Arial"/>
          <w:shd w:val="clear" w:color="auto" w:fill="FFFFFF"/>
        </w:rPr>
        <w:t xml:space="preserve"> position for the Disability Service has improved by £0.867m since Q3. The improvement has been concentrated in Day Services (£0.190m improvement), the Short Breaks Service (£0.233m improvement) and Home Care Service (£0.336m improvement).  The year-end position also includes a net improvement across the rest of the service of £0.108m. In the main, the movement from Q3 is the result of the continuing impact of </w:t>
      </w:r>
      <w:r w:rsidR="0026517A">
        <w:rPr>
          <w:rStyle w:val="normaltextrun"/>
          <w:rFonts w:cs="Arial"/>
          <w:shd w:val="clear" w:color="auto" w:fill="FFFFFF"/>
        </w:rPr>
        <w:t>Covid-19</w:t>
      </w:r>
      <w:r>
        <w:rPr>
          <w:rStyle w:val="normaltextrun"/>
          <w:rFonts w:cs="Arial"/>
          <w:shd w:val="clear" w:color="auto" w:fill="FFFFFF"/>
        </w:rPr>
        <w:t xml:space="preserve"> on the volume of attendances in the Day and Short Break Services and the impact of the Omicron variant in the final quarter of the year. This has also led to reduced staffing and travel costs</w:t>
      </w:r>
      <w:r w:rsidR="00F22EBC">
        <w:rPr>
          <w:rStyle w:val="normaltextrun"/>
          <w:rFonts w:cs="Arial"/>
          <w:shd w:val="clear" w:color="auto" w:fill="FFFFFF"/>
        </w:rPr>
        <w:t>.</w:t>
      </w:r>
    </w:p>
    <w:p w14:paraId="1FEC9539" w14:textId="77777777" w:rsidR="00F22EBC" w:rsidRDefault="00F22EBC" w:rsidP="00D10794">
      <w:pPr>
        <w:spacing w:after="0"/>
        <w:rPr>
          <w:rStyle w:val="normaltextrun"/>
          <w:rFonts w:cs="Arial"/>
          <w:shd w:val="clear" w:color="auto" w:fill="FFFFFF"/>
        </w:rPr>
      </w:pPr>
    </w:p>
    <w:p w14:paraId="52256267" w14:textId="77777777" w:rsidR="00F22EBC" w:rsidRPr="00812801" w:rsidRDefault="00162F2E" w:rsidP="00D10794">
      <w:pPr>
        <w:spacing w:after="0"/>
        <w:rPr>
          <w:rFonts w:cs="Arial"/>
          <w:highlight w:val="yellow"/>
        </w:rPr>
      </w:pPr>
      <w:r>
        <w:rPr>
          <w:rStyle w:val="normaltextrun"/>
          <w:rFonts w:cs="Arial"/>
          <w:shd w:val="clear" w:color="auto" w:fill="FFFFFF"/>
        </w:rPr>
        <w:t>The primary pressure on the Service continues to be the Home Care Service with a £0.735m overspend, although it should be noted that previously agreed savings of £1.906m (Remodelling In-House services £1.566m and the shortfall on the LCFT savings target £0.340m) have been delivered via a range of service developments and modernisation, albeit not necessarily as initially planned.</w:t>
      </w:r>
    </w:p>
    <w:p w14:paraId="6156C513" w14:textId="77777777" w:rsidR="00D10794" w:rsidRPr="00812801" w:rsidRDefault="00D10794" w:rsidP="00D10794">
      <w:pPr>
        <w:spacing w:after="0"/>
        <w:rPr>
          <w:rFonts w:cs="Arial"/>
          <w:i/>
          <w:color w:val="FF0000"/>
          <w:highlight w:val="yellow"/>
        </w:rPr>
      </w:pPr>
    </w:p>
    <w:p w14:paraId="58D3483C" w14:textId="77777777" w:rsidR="00D10794" w:rsidRPr="00F25609" w:rsidRDefault="00162F2E" w:rsidP="00D10794">
      <w:pPr>
        <w:spacing w:after="0"/>
        <w:rPr>
          <w:rFonts w:cs="Arial"/>
        </w:rPr>
      </w:pPr>
      <w:r w:rsidRPr="00F25609">
        <w:rPr>
          <w:rFonts w:cs="Arial"/>
          <w:b/>
        </w:rPr>
        <w:t xml:space="preserve">Learning Disability, Autism &amp; Mental Health – </w:t>
      </w:r>
      <w:r w:rsidR="00126A3F">
        <w:rPr>
          <w:rFonts w:cs="Arial"/>
          <w:b/>
        </w:rPr>
        <w:t>O</w:t>
      </w:r>
      <w:r w:rsidRPr="00F25609">
        <w:rPr>
          <w:rFonts w:cs="Arial"/>
          <w:b/>
        </w:rPr>
        <w:t>verspend £</w:t>
      </w:r>
      <w:r w:rsidR="00882672">
        <w:rPr>
          <w:rFonts w:cs="Arial"/>
          <w:b/>
        </w:rPr>
        <w:t>2</w:t>
      </w:r>
      <w:r w:rsidR="00321065" w:rsidRPr="00F25609">
        <w:rPr>
          <w:rFonts w:cs="Arial"/>
          <w:b/>
        </w:rPr>
        <w:t>.931</w:t>
      </w:r>
      <w:r w:rsidRPr="00F25609">
        <w:rPr>
          <w:rFonts w:cs="Arial"/>
          <w:b/>
        </w:rPr>
        <w:t>m</w:t>
      </w:r>
    </w:p>
    <w:p w14:paraId="3C8719F0" w14:textId="77777777" w:rsidR="006A1CCE" w:rsidRDefault="006A1CCE" w:rsidP="00D10794">
      <w:pPr>
        <w:spacing w:after="0"/>
        <w:rPr>
          <w:rFonts w:cs="Arial"/>
          <w:bCs/>
          <w:i/>
          <w:iCs/>
        </w:rPr>
      </w:pPr>
    </w:p>
    <w:p w14:paraId="25FAD47F" w14:textId="77777777" w:rsidR="00D10794" w:rsidRPr="00F25609" w:rsidRDefault="00162F2E" w:rsidP="00D10794">
      <w:pPr>
        <w:spacing w:after="0"/>
        <w:rPr>
          <w:rFonts w:cs="Arial"/>
          <w:bCs/>
          <w:i/>
          <w:iCs/>
        </w:rPr>
      </w:pPr>
      <w:r w:rsidRPr="00F25609">
        <w:rPr>
          <w:rFonts w:cs="Arial"/>
          <w:bCs/>
          <w:i/>
          <w:iCs/>
        </w:rPr>
        <w:t>Learning Disability and Autism Social Work Service</w:t>
      </w:r>
    </w:p>
    <w:p w14:paraId="22B6CA7B" w14:textId="77777777" w:rsidR="00D10794" w:rsidRPr="00F25609" w:rsidRDefault="00D10794" w:rsidP="00D10794">
      <w:pPr>
        <w:spacing w:after="0"/>
        <w:rPr>
          <w:rFonts w:cs="Arial"/>
        </w:rPr>
      </w:pPr>
    </w:p>
    <w:p w14:paraId="598288F4" w14:textId="77777777" w:rsidR="00D10794" w:rsidRPr="00F25609" w:rsidRDefault="00162F2E" w:rsidP="00D10794">
      <w:pPr>
        <w:spacing w:after="0"/>
        <w:rPr>
          <w:rFonts w:cs="Arial"/>
        </w:rPr>
      </w:pPr>
      <w:r w:rsidRPr="00F25609">
        <w:rPr>
          <w:rFonts w:cs="Arial"/>
        </w:rPr>
        <w:t xml:space="preserve">This service comprises teams of social workers and other staff working to assess individual needs, and then plan and commission appropriate support from a wide range of organisations including </w:t>
      </w:r>
      <w:r w:rsidR="008A001F">
        <w:rPr>
          <w:rFonts w:cs="Arial"/>
        </w:rPr>
        <w:t xml:space="preserve">the </w:t>
      </w:r>
      <w:r w:rsidRPr="00F25609">
        <w:rPr>
          <w:rFonts w:cs="Arial"/>
        </w:rPr>
        <w:t>council</w:t>
      </w:r>
      <w:r w:rsidR="00C70698">
        <w:rPr>
          <w:rFonts w:cs="Arial"/>
        </w:rPr>
        <w:t>'s in-house service</w:t>
      </w:r>
      <w:r w:rsidRPr="00F25609">
        <w:rPr>
          <w:rFonts w:cs="Arial"/>
        </w:rPr>
        <w:t>, voluntary organisations and private companies</w:t>
      </w:r>
    </w:p>
    <w:p w14:paraId="7FCCE249" w14:textId="77777777" w:rsidR="00D10794" w:rsidRPr="00F25609" w:rsidRDefault="00D10794" w:rsidP="00D10794">
      <w:pPr>
        <w:spacing w:after="0"/>
        <w:rPr>
          <w:rFonts w:cs="Arial"/>
        </w:rPr>
      </w:pPr>
    </w:p>
    <w:p w14:paraId="72120F11" w14:textId="77777777" w:rsidR="00D10794" w:rsidRPr="00812801" w:rsidRDefault="00162F2E" w:rsidP="00D10794">
      <w:pPr>
        <w:spacing w:after="0"/>
        <w:rPr>
          <w:rFonts w:cs="Arial"/>
          <w:highlight w:val="yellow"/>
        </w:rPr>
      </w:pPr>
      <w:r w:rsidRPr="00F25609">
        <w:rPr>
          <w:rFonts w:cs="Arial"/>
        </w:rPr>
        <w:t>The learning disability and autism service has overspent by £</w:t>
      </w:r>
      <w:r w:rsidR="00F25609" w:rsidRPr="00F25609">
        <w:rPr>
          <w:rFonts w:cs="Arial"/>
        </w:rPr>
        <w:t>4.418</w:t>
      </w:r>
      <w:r w:rsidRPr="00F25609">
        <w:rPr>
          <w:rFonts w:cs="Arial"/>
        </w:rPr>
        <w:t>m</w:t>
      </w:r>
      <w:r w:rsidR="00F541B5">
        <w:rPr>
          <w:rFonts w:cs="Arial"/>
        </w:rPr>
        <w:t xml:space="preserve"> offset by staffing underspends of £226,810</w:t>
      </w:r>
      <w:r w:rsidR="009E3AF4">
        <w:rPr>
          <w:rFonts w:cs="Arial"/>
        </w:rPr>
        <w:t xml:space="preserve"> resulting in a net outturn position of an over</w:t>
      </w:r>
      <w:r w:rsidR="007272D0">
        <w:rPr>
          <w:rFonts w:cs="Arial"/>
        </w:rPr>
        <w:t>-</w:t>
      </w:r>
      <w:r w:rsidR="009E3AF4">
        <w:rPr>
          <w:rFonts w:cs="Arial"/>
        </w:rPr>
        <w:t>spend of £4.</w:t>
      </w:r>
      <w:r w:rsidR="00EC0510">
        <w:rPr>
          <w:rFonts w:cs="Arial"/>
        </w:rPr>
        <w:t>282m</w:t>
      </w:r>
      <w:r w:rsidR="00EC0510" w:rsidRPr="2ADE0270">
        <w:rPr>
          <w:rFonts w:cs="Arial"/>
        </w:rPr>
        <w:t>.</w:t>
      </w:r>
    </w:p>
    <w:p w14:paraId="39D8E574" w14:textId="77777777" w:rsidR="00D10794" w:rsidRPr="00812801" w:rsidRDefault="00D10794" w:rsidP="00D10794">
      <w:pPr>
        <w:spacing w:after="0"/>
        <w:rPr>
          <w:rFonts w:cs="Arial"/>
          <w:highlight w:val="yellow"/>
        </w:rPr>
      </w:pPr>
    </w:p>
    <w:p w14:paraId="50E76ABB" w14:textId="77777777" w:rsidR="00D10794" w:rsidRPr="00D83939" w:rsidRDefault="00162F2E" w:rsidP="00D10794">
      <w:pPr>
        <w:spacing w:after="0"/>
        <w:rPr>
          <w:rFonts w:cs="Arial"/>
        </w:rPr>
      </w:pPr>
      <w:r w:rsidRPr="00BE1F67">
        <w:rPr>
          <w:rFonts w:cs="Arial"/>
        </w:rPr>
        <w:t>Commissioned services have reported an overspend of £</w:t>
      </w:r>
      <w:r w:rsidR="007B65DB" w:rsidRPr="00BE1F67">
        <w:rPr>
          <w:rFonts w:cs="Arial"/>
        </w:rPr>
        <w:t>5.069m</w:t>
      </w:r>
      <w:r w:rsidRPr="00BE1F67">
        <w:rPr>
          <w:rFonts w:cs="Arial"/>
        </w:rPr>
        <w:t xml:space="preserve"> due to </w:t>
      </w:r>
      <w:r w:rsidR="007B65DB" w:rsidRPr="00BE1F67">
        <w:rPr>
          <w:rFonts w:cs="Arial"/>
        </w:rPr>
        <w:t xml:space="preserve">price and demand </w:t>
      </w:r>
      <w:r w:rsidR="00534FBD" w:rsidRPr="00BE1F67">
        <w:rPr>
          <w:rFonts w:cs="Arial"/>
        </w:rPr>
        <w:t>fluctuations.</w:t>
      </w:r>
      <w:r w:rsidR="00BE1F67">
        <w:t xml:space="preserve"> </w:t>
      </w:r>
      <w:r w:rsidR="004B712F">
        <w:t xml:space="preserve">Home </w:t>
      </w:r>
      <w:r w:rsidR="00B32767">
        <w:t>C</w:t>
      </w:r>
      <w:r w:rsidR="004B712F">
        <w:t>are pressures of £3.245 relate to previous years recurrent growth</w:t>
      </w:r>
      <w:r w:rsidR="00CD4716">
        <w:t xml:space="preserve">. There is an overspend on Direct </w:t>
      </w:r>
      <w:r w:rsidR="00617CE8">
        <w:t>P</w:t>
      </w:r>
      <w:r w:rsidR="00CD4716">
        <w:t xml:space="preserve">ayments of £1.393m </w:t>
      </w:r>
      <w:r w:rsidR="00831F5E">
        <w:t xml:space="preserve">and an underspend position of £882,353 on Day </w:t>
      </w:r>
      <w:r w:rsidR="00617CE8">
        <w:t>C</w:t>
      </w:r>
      <w:r w:rsidR="00831F5E">
        <w:t xml:space="preserve">are services. </w:t>
      </w:r>
      <w:r w:rsidR="00F71A32">
        <w:t>Residential</w:t>
      </w:r>
      <w:r w:rsidR="00940AAE">
        <w:t xml:space="preserve"> </w:t>
      </w:r>
      <w:r w:rsidR="00863D8C">
        <w:t xml:space="preserve">services have </w:t>
      </w:r>
      <w:r w:rsidR="00F71A32">
        <w:t>declared</w:t>
      </w:r>
      <w:r w:rsidR="00863D8C">
        <w:t xml:space="preserve"> an </w:t>
      </w:r>
      <w:r w:rsidR="00F71A32">
        <w:t>overspend</w:t>
      </w:r>
      <w:r w:rsidR="00863D8C">
        <w:t xml:space="preserve"> </w:t>
      </w:r>
      <w:r w:rsidR="00F71A32">
        <w:t>position</w:t>
      </w:r>
      <w:r w:rsidR="00863D8C">
        <w:t xml:space="preserve"> of £1.559m which </w:t>
      </w:r>
      <w:r w:rsidR="00F71A32">
        <w:t>relates</w:t>
      </w:r>
      <w:r w:rsidR="00863D8C">
        <w:t xml:space="preserve"> to</w:t>
      </w:r>
      <w:r w:rsidR="00F71A32">
        <w:t xml:space="preserve"> </w:t>
      </w:r>
      <w:r w:rsidR="00863D8C">
        <w:t xml:space="preserve">a provision for an </w:t>
      </w:r>
      <w:r w:rsidR="00F71A32">
        <w:t>Ordinary</w:t>
      </w:r>
      <w:r w:rsidR="00863D8C">
        <w:t xml:space="preserve"> </w:t>
      </w:r>
      <w:r w:rsidR="00F71A32">
        <w:t>Residency</w:t>
      </w:r>
      <w:r w:rsidR="00863D8C">
        <w:t xml:space="preserve"> </w:t>
      </w:r>
      <w:r w:rsidR="00F71A32">
        <w:t xml:space="preserve">case. </w:t>
      </w:r>
      <w:r w:rsidRPr="00BE1F67">
        <w:t> </w:t>
      </w:r>
      <w:r w:rsidR="00C806E6">
        <w:t xml:space="preserve">For Nursing </w:t>
      </w:r>
      <w:r w:rsidR="00B8188E">
        <w:t>C</w:t>
      </w:r>
      <w:r w:rsidR="00860FA3">
        <w:t>are an underspend of £246,624 is declare</w:t>
      </w:r>
      <w:r w:rsidR="00B7669D">
        <w:t>d</w:t>
      </w:r>
      <w:r w:rsidR="00860FA3">
        <w:t xml:space="preserve"> due to declining service user numbers. </w:t>
      </w:r>
      <w:r w:rsidR="00CB33B2">
        <w:t>It should be noted there are increasing price pressures for all care services</w:t>
      </w:r>
      <w:r w:rsidR="007C1AEC">
        <w:t>.</w:t>
      </w:r>
      <w:r w:rsidR="00CB33B2">
        <w:t xml:space="preserve"> </w:t>
      </w:r>
    </w:p>
    <w:p w14:paraId="0103043B" w14:textId="77777777" w:rsidR="009067A2" w:rsidRPr="00812801" w:rsidRDefault="009067A2" w:rsidP="00D10794">
      <w:pPr>
        <w:spacing w:after="0"/>
        <w:rPr>
          <w:rFonts w:cs="Arial"/>
          <w:b/>
          <w:bCs/>
          <w:i/>
          <w:iCs/>
          <w:highlight w:val="yellow"/>
        </w:rPr>
      </w:pPr>
    </w:p>
    <w:p w14:paraId="6BC60E6B" w14:textId="77777777" w:rsidR="00D10794" w:rsidRPr="00D83939" w:rsidRDefault="00162F2E" w:rsidP="00D10794">
      <w:pPr>
        <w:spacing w:after="0"/>
        <w:rPr>
          <w:rFonts w:cs="Arial"/>
          <w:i/>
          <w:iCs/>
        </w:rPr>
      </w:pPr>
      <w:r w:rsidRPr="00D83939">
        <w:rPr>
          <w:rFonts w:cs="Arial"/>
          <w:i/>
          <w:iCs/>
        </w:rPr>
        <w:t>Mental Health Service</w:t>
      </w:r>
    </w:p>
    <w:p w14:paraId="2824078D" w14:textId="77777777" w:rsidR="00D10794" w:rsidRPr="00D83939" w:rsidRDefault="00D10794" w:rsidP="00D10794">
      <w:pPr>
        <w:spacing w:after="0"/>
        <w:rPr>
          <w:rFonts w:cs="Arial"/>
        </w:rPr>
      </w:pPr>
    </w:p>
    <w:p w14:paraId="094261CD" w14:textId="77777777" w:rsidR="00D10794" w:rsidRPr="00FB29A8" w:rsidRDefault="00162F2E" w:rsidP="00E736FC">
      <w:pPr>
        <w:spacing w:after="0"/>
        <w:rPr>
          <w:rFonts w:cs="Arial"/>
        </w:rPr>
      </w:pPr>
      <w:r w:rsidRPr="00D83939">
        <w:rPr>
          <w:rFonts w:cs="Arial"/>
        </w:rPr>
        <w:t xml:space="preserve">The </w:t>
      </w:r>
      <w:r w:rsidR="007C1AEC">
        <w:rPr>
          <w:rFonts w:cs="Arial"/>
        </w:rPr>
        <w:t>M</w:t>
      </w:r>
      <w:r w:rsidRPr="00D83939">
        <w:rPr>
          <w:rFonts w:cs="Arial"/>
        </w:rPr>
        <w:t xml:space="preserve">ental </w:t>
      </w:r>
      <w:r w:rsidR="007C1AEC">
        <w:rPr>
          <w:rFonts w:cs="Arial"/>
        </w:rPr>
        <w:t>H</w:t>
      </w:r>
      <w:r w:rsidRPr="00D83939">
        <w:rPr>
          <w:rFonts w:cs="Arial"/>
        </w:rPr>
        <w:t xml:space="preserve">ealth </w:t>
      </w:r>
      <w:r w:rsidR="00B4660F">
        <w:rPr>
          <w:rFonts w:cs="Arial"/>
        </w:rPr>
        <w:t>S</w:t>
      </w:r>
      <w:r w:rsidRPr="00D83939">
        <w:rPr>
          <w:rFonts w:cs="Arial"/>
        </w:rPr>
        <w:t>ervice has underspent by £</w:t>
      </w:r>
      <w:r w:rsidR="00D83939" w:rsidRPr="00D83939">
        <w:rPr>
          <w:rFonts w:cs="Arial"/>
        </w:rPr>
        <w:t>1.2</w:t>
      </w:r>
      <w:r w:rsidR="00D83939">
        <w:rPr>
          <w:rFonts w:cs="Arial"/>
        </w:rPr>
        <w:t>60</w:t>
      </w:r>
      <w:r w:rsidR="00D83939" w:rsidRPr="00D83939">
        <w:rPr>
          <w:rFonts w:cs="Arial"/>
        </w:rPr>
        <w:t>m</w:t>
      </w:r>
      <w:r w:rsidRPr="00FB29A8">
        <w:rPr>
          <w:rFonts w:cs="Arial"/>
        </w:rPr>
        <w:t>, predominantly due to staffing underspends of £1.</w:t>
      </w:r>
      <w:r w:rsidR="002215CB" w:rsidRPr="00FB29A8">
        <w:rPr>
          <w:rFonts w:cs="Arial"/>
        </w:rPr>
        <w:t>271m</w:t>
      </w:r>
      <w:r w:rsidRPr="00FB29A8">
        <w:rPr>
          <w:rFonts w:cs="Arial"/>
        </w:rPr>
        <w:t>m. Commissioned services (e</w:t>
      </w:r>
      <w:r w:rsidR="0066393E">
        <w:rPr>
          <w:rFonts w:cs="Arial"/>
        </w:rPr>
        <w:t>.</w:t>
      </w:r>
      <w:r w:rsidRPr="00FB29A8">
        <w:rPr>
          <w:rFonts w:cs="Arial"/>
        </w:rPr>
        <w:t>g</w:t>
      </w:r>
      <w:r w:rsidR="004C6D70">
        <w:rPr>
          <w:rFonts w:cs="Arial"/>
        </w:rPr>
        <w:t>.,</w:t>
      </w:r>
      <w:r w:rsidR="00B4660F">
        <w:rPr>
          <w:rFonts w:cs="Arial"/>
        </w:rPr>
        <w:t xml:space="preserve"> R</w:t>
      </w:r>
      <w:r w:rsidRPr="00FB29A8">
        <w:rPr>
          <w:rFonts w:cs="Arial"/>
        </w:rPr>
        <w:t xml:space="preserve">esidential </w:t>
      </w:r>
      <w:r w:rsidR="00164D45">
        <w:rPr>
          <w:rFonts w:cs="Arial"/>
        </w:rPr>
        <w:t>C</w:t>
      </w:r>
      <w:r w:rsidRPr="00FB29A8">
        <w:rPr>
          <w:rFonts w:cs="Arial"/>
        </w:rPr>
        <w:t xml:space="preserve">are, </w:t>
      </w:r>
      <w:r w:rsidR="00164D45">
        <w:rPr>
          <w:rFonts w:cs="Arial"/>
        </w:rPr>
        <w:t>Home C</w:t>
      </w:r>
      <w:r w:rsidRPr="00FB29A8">
        <w:rPr>
          <w:rFonts w:cs="Arial"/>
        </w:rPr>
        <w:t xml:space="preserve">are etc) have </w:t>
      </w:r>
      <w:r w:rsidR="002215CB" w:rsidRPr="00FB29A8">
        <w:rPr>
          <w:rFonts w:cs="Arial"/>
        </w:rPr>
        <w:t xml:space="preserve">a net </w:t>
      </w:r>
      <w:r w:rsidRPr="00FB29A8">
        <w:rPr>
          <w:rFonts w:cs="Arial"/>
        </w:rPr>
        <w:t>overspen</w:t>
      </w:r>
      <w:r w:rsidR="00AA29D0">
        <w:rPr>
          <w:rFonts w:cs="Arial"/>
        </w:rPr>
        <w:t>d</w:t>
      </w:r>
      <w:r w:rsidRPr="00FB29A8">
        <w:rPr>
          <w:rFonts w:cs="Arial"/>
        </w:rPr>
        <w:t xml:space="preserve"> </w:t>
      </w:r>
      <w:r w:rsidR="00AA29D0">
        <w:rPr>
          <w:rFonts w:cs="Arial"/>
        </w:rPr>
        <w:t>of</w:t>
      </w:r>
      <w:r w:rsidRPr="00FB29A8">
        <w:rPr>
          <w:rFonts w:cs="Arial"/>
        </w:rPr>
        <w:t xml:space="preserve"> £</w:t>
      </w:r>
      <w:r w:rsidR="002215CB" w:rsidRPr="00FB29A8">
        <w:rPr>
          <w:rFonts w:cs="Arial"/>
        </w:rPr>
        <w:t>11</w:t>
      </w:r>
      <w:r w:rsidRPr="00FB29A8">
        <w:rPr>
          <w:rFonts w:cs="Arial"/>
        </w:rPr>
        <w:t>,000</w:t>
      </w:r>
      <w:r w:rsidR="0074745E">
        <w:rPr>
          <w:rFonts w:cs="Arial"/>
        </w:rPr>
        <w:t xml:space="preserve"> which</w:t>
      </w:r>
      <w:r w:rsidR="00267EF4" w:rsidRPr="00FB29A8">
        <w:rPr>
          <w:rFonts w:cs="Arial"/>
        </w:rPr>
        <w:t xml:space="preserve"> is due to demand pressures </w:t>
      </w:r>
      <w:r w:rsidR="00E736FC" w:rsidRPr="00FB29A8">
        <w:rPr>
          <w:rFonts w:cs="Arial"/>
        </w:rPr>
        <w:t>offset by community</w:t>
      </w:r>
      <w:r w:rsidR="0066393E">
        <w:rPr>
          <w:rFonts w:cs="Arial"/>
        </w:rPr>
        <w:t>-</w:t>
      </w:r>
      <w:r w:rsidR="00E736FC" w:rsidRPr="00FB29A8">
        <w:rPr>
          <w:rFonts w:cs="Arial"/>
        </w:rPr>
        <w:t>based service underspends</w:t>
      </w:r>
      <w:r w:rsidR="008B41F0">
        <w:rPr>
          <w:rFonts w:cs="Arial"/>
        </w:rPr>
        <w:t>.</w:t>
      </w:r>
    </w:p>
    <w:p w14:paraId="52AEA414" w14:textId="77777777" w:rsidR="00D10794" w:rsidRPr="00812801" w:rsidRDefault="00D10794" w:rsidP="00D10794">
      <w:pPr>
        <w:spacing w:after="0"/>
        <w:rPr>
          <w:rFonts w:cs="Arial"/>
          <w:i/>
          <w:color w:val="FF0000"/>
          <w:highlight w:val="yellow"/>
        </w:rPr>
      </w:pPr>
    </w:p>
    <w:p w14:paraId="10D96C5C" w14:textId="77777777" w:rsidR="00D10794" w:rsidRPr="000965AB" w:rsidRDefault="00162F2E" w:rsidP="00D10794">
      <w:pPr>
        <w:spacing w:after="0"/>
        <w:rPr>
          <w:rFonts w:cs="Arial"/>
        </w:rPr>
      </w:pPr>
      <w:r w:rsidRPr="000965AB">
        <w:rPr>
          <w:rFonts w:cs="Arial"/>
          <w:b/>
        </w:rPr>
        <w:t xml:space="preserve">Residential and </w:t>
      </w:r>
      <w:r w:rsidR="00AE55DC">
        <w:rPr>
          <w:rFonts w:cs="Arial"/>
          <w:b/>
        </w:rPr>
        <w:t>D</w:t>
      </w:r>
      <w:r w:rsidRPr="000965AB">
        <w:rPr>
          <w:rFonts w:cs="Arial"/>
          <w:b/>
        </w:rPr>
        <w:t xml:space="preserve">ay </w:t>
      </w:r>
      <w:r w:rsidR="00AE55DC">
        <w:rPr>
          <w:rFonts w:cs="Arial"/>
          <w:b/>
        </w:rPr>
        <w:t>C</w:t>
      </w:r>
      <w:r w:rsidRPr="000965AB">
        <w:rPr>
          <w:rFonts w:cs="Arial"/>
          <w:b/>
        </w:rPr>
        <w:t xml:space="preserve">are </w:t>
      </w:r>
      <w:r w:rsidR="006737DF">
        <w:rPr>
          <w:rFonts w:cs="Arial"/>
          <w:b/>
        </w:rPr>
        <w:t>S</w:t>
      </w:r>
      <w:r w:rsidRPr="000965AB">
        <w:rPr>
          <w:rFonts w:cs="Arial"/>
          <w:b/>
        </w:rPr>
        <w:t xml:space="preserve">ervices for </w:t>
      </w:r>
      <w:r w:rsidR="00AE55DC">
        <w:rPr>
          <w:rFonts w:cs="Arial"/>
          <w:b/>
        </w:rPr>
        <w:t>O</w:t>
      </w:r>
      <w:r w:rsidRPr="000965AB">
        <w:rPr>
          <w:rFonts w:cs="Arial"/>
          <w:b/>
        </w:rPr>
        <w:t xml:space="preserve">lder </w:t>
      </w:r>
      <w:r w:rsidR="00AE55DC">
        <w:rPr>
          <w:rFonts w:cs="Arial"/>
          <w:b/>
        </w:rPr>
        <w:t>P</w:t>
      </w:r>
      <w:r w:rsidRPr="000965AB">
        <w:rPr>
          <w:rFonts w:cs="Arial"/>
          <w:b/>
        </w:rPr>
        <w:t>eople – overspend £3.80</w:t>
      </w:r>
      <w:r w:rsidR="004658FB" w:rsidRPr="000965AB">
        <w:rPr>
          <w:rFonts w:cs="Arial"/>
          <w:b/>
        </w:rPr>
        <w:t>1</w:t>
      </w:r>
      <w:r w:rsidRPr="000965AB">
        <w:rPr>
          <w:rFonts w:cs="Arial"/>
          <w:b/>
        </w:rPr>
        <w:t>m</w:t>
      </w:r>
      <w:r w:rsidRPr="000965AB">
        <w:rPr>
          <w:rFonts w:cs="Arial"/>
        </w:rPr>
        <w:t xml:space="preserve"> </w:t>
      </w:r>
    </w:p>
    <w:p w14:paraId="001EB7C7" w14:textId="77777777" w:rsidR="008547F7" w:rsidRPr="000965AB" w:rsidRDefault="008547F7" w:rsidP="00D10794">
      <w:pPr>
        <w:spacing w:after="0"/>
        <w:rPr>
          <w:rFonts w:cs="Arial"/>
        </w:rPr>
      </w:pPr>
    </w:p>
    <w:p w14:paraId="357D032B" w14:textId="77777777" w:rsidR="00730339" w:rsidRPr="000965AB" w:rsidRDefault="00162F2E" w:rsidP="00D10794">
      <w:pPr>
        <w:spacing w:after="0"/>
        <w:rPr>
          <w:rFonts w:cs="Arial"/>
        </w:rPr>
      </w:pPr>
      <w:r w:rsidRPr="000965AB">
        <w:rPr>
          <w:rFonts w:cs="Arial"/>
        </w:rPr>
        <w:t xml:space="preserve">The service operates with a gross </w:t>
      </w:r>
      <w:r w:rsidR="00AE55DC">
        <w:rPr>
          <w:rFonts w:cs="Arial"/>
        </w:rPr>
        <w:t xml:space="preserve">expenditure </w:t>
      </w:r>
      <w:r w:rsidRPr="000965AB">
        <w:rPr>
          <w:rFonts w:cs="Arial"/>
        </w:rPr>
        <w:t>budget of £2</w:t>
      </w:r>
      <w:r w:rsidR="004658FB" w:rsidRPr="000965AB">
        <w:rPr>
          <w:rFonts w:cs="Arial"/>
        </w:rPr>
        <w:t>3.918</w:t>
      </w:r>
      <w:r w:rsidRPr="000965AB">
        <w:rPr>
          <w:rFonts w:cs="Arial"/>
        </w:rPr>
        <w:t>m and has an income target of £23.</w:t>
      </w:r>
      <w:r w:rsidR="004658FB" w:rsidRPr="000965AB">
        <w:rPr>
          <w:rFonts w:cs="Arial"/>
        </w:rPr>
        <w:t>663</w:t>
      </w:r>
      <w:r w:rsidRPr="000965AB">
        <w:rPr>
          <w:rFonts w:cs="Arial"/>
        </w:rPr>
        <w:t xml:space="preserve">m resulting in a net budget of </w:t>
      </w:r>
      <w:r w:rsidR="004658FB" w:rsidRPr="000965AB">
        <w:rPr>
          <w:rFonts w:cs="Arial"/>
        </w:rPr>
        <w:t>£0.</w:t>
      </w:r>
      <w:r w:rsidRPr="000965AB">
        <w:rPr>
          <w:rFonts w:cs="Arial"/>
        </w:rPr>
        <w:t>255m</w:t>
      </w:r>
      <w:r w:rsidR="00AE55DC">
        <w:rPr>
          <w:rFonts w:cs="Arial"/>
        </w:rPr>
        <w:t>.</w:t>
      </w:r>
    </w:p>
    <w:p w14:paraId="17EF531B" w14:textId="77777777" w:rsidR="00730339" w:rsidRDefault="00730339" w:rsidP="00D10794">
      <w:pPr>
        <w:spacing w:after="0"/>
        <w:rPr>
          <w:rFonts w:cs="Arial"/>
          <w:highlight w:val="yellow"/>
        </w:rPr>
      </w:pPr>
    </w:p>
    <w:p w14:paraId="5353E370" w14:textId="77777777" w:rsidR="00E33D96" w:rsidRDefault="00162F2E" w:rsidP="00E33D9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 xml:space="preserve">With regard to employee costs, the service has experienced staffing and agency pressures as a result of the </w:t>
      </w:r>
      <w:r w:rsidR="0026517A">
        <w:rPr>
          <w:rStyle w:val="normaltextrun"/>
          <w:rFonts w:ascii="Arial" w:hAnsi="Arial"/>
        </w:rPr>
        <w:t>Covid</w:t>
      </w:r>
      <w:r>
        <w:rPr>
          <w:rStyle w:val="normaltextrun"/>
          <w:rFonts w:ascii="Arial" w:hAnsi="Arial"/>
        </w:rPr>
        <w:t xml:space="preserve">-19 pandemic.  Despite the use of the auxiliary workforce which also included the use of </w:t>
      </w:r>
      <w:r w:rsidR="00685049">
        <w:rPr>
          <w:rStyle w:val="normaltextrun"/>
          <w:rFonts w:ascii="Arial" w:hAnsi="Arial"/>
        </w:rPr>
        <w:t xml:space="preserve">redirected </w:t>
      </w:r>
      <w:r w:rsidR="00755151">
        <w:rPr>
          <w:rStyle w:val="normaltextrun"/>
          <w:rFonts w:ascii="Arial" w:hAnsi="Arial"/>
        </w:rPr>
        <w:t>D</w:t>
      </w:r>
      <w:r>
        <w:rPr>
          <w:rStyle w:val="normaltextrun"/>
          <w:rFonts w:ascii="Arial" w:hAnsi="Arial"/>
        </w:rPr>
        <w:t xml:space="preserve">ay </w:t>
      </w:r>
      <w:r w:rsidR="00755151">
        <w:rPr>
          <w:rStyle w:val="normaltextrun"/>
          <w:rFonts w:ascii="Arial" w:hAnsi="Arial"/>
        </w:rPr>
        <w:t>C</w:t>
      </w:r>
      <w:r>
        <w:rPr>
          <w:rStyle w:val="normaltextrun"/>
          <w:rFonts w:ascii="Arial" w:hAnsi="Arial"/>
        </w:rPr>
        <w:t>entre staff and volunteers, the service has had to call on a high level of agency workers to cover for sickness absence. This has resulted in an overspend of £1.062m.</w:t>
      </w:r>
      <w:r w:rsidR="006340E7">
        <w:rPr>
          <w:rStyle w:val="eop"/>
          <w:rFonts w:ascii="Arial" w:hAnsi="Arial"/>
        </w:rPr>
        <w:t xml:space="preserve">  </w:t>
      </w:r>
      <w:r>
        <w:rPr>
          <w:rStyle w:val="eop"/>
          <w:rFonts w:ascii="Arial" w:hAnsi="Arial"/>
        </w:rPr>
        <w:t>T</w:t>
      </w:r>
      <w:r>
        <w:rPr>
          <w:rStyle w:val="normaltextrun"/>
          <w:rFonts w:ascii="Arial" w:hAnsi="Arial"/>
        </w:rPr>
        <w:t xml:space="preserve">here </w:t>
      </w:r>
      <w:r w:rsidR="00755151">
        <w:rPr>
          <w:rStyle w:val="normaltextrun"/>
          <w:rFonts w:ascii="Arial" w:hAnsi="Arial"/>
        </w:rPr>
        <w:t>has also been</w:t>
      </w:r>
      <w:r>
        <w:rPr>
          <w:rStyle w:val="normaltextrun"/>
          <w:rFonts w:ascii="Arial" w:hAnsi="Arial"/>
        </w:rPr>
        <w:t xml:space="preserve"> an overspend on internal charges such as cleaning and catering of £477,000.  This budget pressure has been </w:t>
      </w:r>
      <w:r w:rsidR="00755151">
        <w:rPr>
          <w:rStyle w:val="normaltextrun"/>
          <w:rFonts w:ascii="Arial" w:hAnsi="Arial"/>
        </w:rPr>
        <w:t>corrected</w:t>
      </w:r>
      <w:r>
        <w:rPr>
          <w:rStyle w:val="normaltextrun"/>
          <w:rFonts w:ascii="Arial" w:hAnsi="Arial"/>
        </w:rPr>
        <w:t xml:space="preserve"> for 2022/23.</w:t>
      </w:r>
      <w:r>
        <w:rPr>
          <w:rStyle w:val="eop"/>
          <w:rFonts w:ascii="Arial" w:hAnsi="Arial"/>
        </w:rPr>
        <w:t> </w:t>
      </w:r>
    </w:p>
    <w:p w14:paraId="5449151B" w14:textId="77777777" w:rsidR="00E33D96" w:rsidRDefault="00162F2E" w:rsidP="00E33D9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rPr>
        <w:t> </w:t>
      </w:r>
    </w:p>
    <w:p w14:paraId="12BB8959" w14:textId="77777777" w:rsidR="00294667" w:rsidRDefault="00162F2E" w:rsidP="0029466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 xml:space="preserve">The other main area of overspend relates to </w:t>
      </w:r>
      <w:r w:rsidR="00755151">
        <w:rPr>
          <w:rStyle w:val="normaltextrun"/>
          <w:rFonts w:ascii="Arial" w:hAnsi="Arial"/>
        </w:rPr>
        <w:t>the</w:t>
      </w:r>
      <w:r>
        <w:rPr>
          <w:rStyle w:val="normaltextrun"/>
          <w:rFonts w:ascii="Arial" w:hAnsi="Arial"/>
        </w:rPr>
        <w:t xml:space="preserve"> loss of income</w:t>
      </w:r>
      <w:r w:rsidR="00755151">
        <w:rPr>
          <w:rStyle w:val="normaltextrun"/>
          <w:rFonts w:ascii="Arial" w:hAnsi="Arial"/>
        </w:rPr>
        <w:t>,</w:t>
      </w:r>
      <w:r>
        <w:rPr>
          <w:rStyle w:val="normaltextrun"/>
          <w:rFonts w:ascii="Arial" w:hAnsi="Arial"/>
        </w:rPr>
        <w:t xml:space="preserve"> from both LCC funded and self-funding clients. There was an under-recovery on income for Residential Service Users of £2.272m. £1.269m of this relates to LCC service users </w:t>
      </w:r>
      <w:r w:rsidR="0023341B">
        <w:rPr>
          <w:rStyle w:val="normaltextrun"/>
          <w:rFonts w:ascii="Arial" w:hAnsi="Arial"/>
        </w:rPr>
        <w:t>which means</w:t>
      </w:r>
      <w:r>
        <w:rPr>
          <w:rStyle w:val="normaltextrun"/>
          <w:rFonts w:ascii="Arial" w:hAnsi="Arial"/>
        </w:rPr>
        <w:t xml:space="preserve"> there is a corresponding underspend against the Social Care Services (Adults) residential budget.</w:t>
      </w:r>
      <w:r>
        <w:rPr>
          <w:rStyle w:val="eop"/>
          <w:rFonts w:ascii="Arial" w:hAnsi="Arial"/>
        </w:rPr>
        <w:t> </w:t>
      </w:r>
    </w:p>
    <w:p w14:paraId="3F90DB52" w14:textId="77777777" w:rsidR="00294667" w:rsidRDefault="00162F2E" w:rsidP="0029466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rPr>
        <w:t> </w:t>
      </w:r>
    </w:p>
    <w:p w14:paraId="333AB746" w14:textId="77777777" w:rsidR="00294667" w:rsidRDefault="00162F2E" w:rsidP="00294667">
      <w:pPr>
        <w:pStyle w:val="paragraph"/>
        <w:spacing w:before="0" w:beforeAutospacing="0" w:after="0" w:afterAutospacing="0"/>
        <w:jc w:val="both"/>
        <w:textAlignment w:val="baseline"/>
        <w:rPr>
          <w:rStyle w:val="normaltextrun"/>
          <w:rFonts w:ascii="Arial" w:hAnsi="Arial"/>
        </w:rPr>
      </w:pPr>
      <w:r>
        <w:rPr>
          <w:rStyle w:val="normaltextrun"/>
          <w:rFonts w:ascii="Arial" w:hAnsi="Arial"/>
        </w:rPr>
        <w:t>The service is still experiencing a </w:t>
      </w:r>
      <w:r w:rsidR="0026517A">
        <w:rPr>
          <w:rStyle w:val="normaltextrun"/>
          <w:rFonts w:ascii="Arial" w:hAnsi="Arial"/>
        </w:rPr>
        <w:t>Covid-19</w:t>
      </w:r>
      <w:r>
        <w:rPr>
          <w:rStyle w:val="normaltextrun"/>
          <w:rFonts w:ascii="Arial" w:hAnsi="Arial"/>
        </w:rPr>
        <w:t> related pressure due to a reduction in residential occupancy which has been reduced from a maximum occupancy level of c</w:t>
      </w:r>
      <w:r w:rsidR="00596CCD">
        <w:rPr>
          <w:rStyle w:val="normaltextrun"/>
          <w:rFonts w:ascii="Arial" w:hAnsi="Arial"/>
        </w:rPr>
        <w:t xml:space="preserve">irca. </w:t>
      </w:r>
      <w:r>
        <w:rPr>
          <w:rStyle w:val="normaltextrun"/>
          <w:rFonts w:ascii="Arial" w:hAnsi="Arial"/>
        </w:rPr>
        <w:t>604 to an average of c</w:t>
      </w:r>
      <w:r w:rsidR="00596CCD">
        <w:rPr>
          <w:rStyle w:val="normaltextrun"/>
          <w:rFonts w:ascii="Arial" w:hAnsi="Arial"/>
        </w:rPr>
        <w:t xml:space="preserve">irca. </w:t>
      </w:r>
      <w:r>
        <w:rPr>
          <w:rStyle w:val="normaltextrun"/>
          <w:rFonts w:ascii="Arial" w:hAnsi="Arial"/>
        </w:rPr>
        <w:t>458 residents.</w:t>
      </w:r>
    </w:p>
    <w:p w14:paraId="6E95D424" w14:textId="77777777" w:rsidR="00C2120E" w:rsidRDefault="00C2120E" w:rsidP="00294667">
      <w:pPr>
        <w:pStyle w:val="paragraph"/>
        <w:spacing w:before="0" w:beforeAutospacing="0" w:after="0" w:afterAutospacing="0"/>
        <w:jc w:val="both"/>
        <w:textAlignment w:val="baseline"/>
        <w:rPr>
          <w:rStyle w:val="normaltextrun"/>
          <w:rFonts w:ascii="Arial" w:hAnsi="Arial"/>
        </w:rPr>
      </w:pPr>
    </w:p>
    <w:p w14:paraId="04F84F82" w14:textId="77777777" w:rsidR="00C2120E" w:rsidRPr="00C2120E" w:rsidRDefault="00162F2E" w:rsidP="00C2120E">
      <w:pPr>
        <w:spacing w:after="0"/>
        <w:rPr>
          <w:rStyle w:val="normaltextrun"/>
          <w:rFonts w:eastAsia="Times New Roman" w:cs="Arial"/>
          <w:lang w:eastAsia="en-GB"/>
        </w:rPr>
      </w:pPr>
      <w:r w:rsidRPr="00C2120E">
        <w:rPr>
          <w:rStyle w:val="normaltextrun"/>
          <w:rFonts w:eastAsia="Times New Roman" w:cs="Arial"/>
          <w:lang w:eastAsia="en-GB"/>
        </w:rPr>
        <w:t>As already stated</w:t>
      </w:r>
      <w:r>
        <w:rPr>
          <w:rStyle w:val="normaltextrun"/>
          <w:rFonts w:eastAsia="Times New Roman" w:cs="Arial"/>
          <w:lang w:eastAsia="en-GB"/>
        </w:rPr>
        <w:t>,</w:t>
      </w:r>
      <w:r w:rsidRPr="00C2120E">
        <w:rPr>
          <w:rStyle w:val="normaltextrun"/>
          <w:rFonts w:eastAsia="Times New Roman" w:cs="Arial"/>
          <w:lang w:eastAsia="en-GB"/>
        </w:rPr>
        <w:t xml:space="preserve"> the in-house services, in particular services for Older People, but also services for those with a Disability have been significantly impacted upon by covid affecting staff teams and a requirement for additional staffing. It is anticipated that this will continue until the autumn as the impact upon staffing remains a significant challenge in terms of "recovery" and ensuring capacity as the vacancy rates are double that pre pandemic resulting in increased use of agency staffing and associated costs. The plan is to move the services onto a "block" contract and maximise the use of capacity, including piloting an expanded approach to intermediate tier provision for those mental health related needs.         </w:t>
      </w:r>
    </w:p>
    <w:p w14:paraId="450EED64" w14:textId="77777777" w:rsidR="00C2120E" w:rsidRDefault="00C2120E" w:rsidP="00294667">
      <w:pPr>
        <w:pStyle w:val="paragraph"/>
        <w:spacing w:before="0" w:beforeAutospacing="0" w:after="0" w:afterAutospacing="0"/>
        <w:jc w:val="both"/>
        <w:textAlignment w:val="baseline"/>
        <w:rPr>
          <w:rStyle w:val="normaltextrun"/>
          <w:rFonts w:ascii="Arial" w:hAnsi="Arial"/>
        </w:rPr>
      </w:pPr>
    </w:p>
    <w:p w14:paraId="68B5F3E3" w14:textId="77777777" w:rsidR="00D10794" w:rsidRDefault="00162F2E" w:rsidP="00A6107E">
      <w:pPr>
        <w:pStyle w:val="paragraph"/>
        <w:spacing w:before="0" w:beforeAutospacing="0" w:after="0" w:afterAutospacing="0"/>
        <w:jc w:val="both"/>
        <w:textAlignment w:val="baseline"/>
        <w:rPr>
          <w:rStyle w:val="eop"/>
          <w:rFonts w:ascii="Arial" w:hAnsi="Arial"/>
          <w:shd w:val="clear" w:color="auto" w:fill="FFFFFF"/>
        </w:rPr>
      </w:pPr>
      <w:r>
        <w:rPr>
          <w:rStyle w:val="eop"/>
          <w:rFonts w:ascii="Arial" w:hAnsi="Arial"/>
        </w:rPr>
        <w:t> </w:t>
      </w:r>
      <w:r w:rsidR="00CF3DF2">
        <w:rPr>
          <w:rStyle w:val="normaltextrun"/>
          <w:rFonts w:ascii="Arial" w:hAnsi="Arial" w:cs="Arial"/>
          <w:b/>
          <w:bCs/>
          <w:color w:val="000000"/>
          <w:shd w:val="clear" w:color="auto" w:fill="FFFFFF"/>
        </w:rPr>
        <w:t xml:space="preserve">Social Care Services (Adults) – Underspend </w:t>
      </w:r>
      <w:r w:rsidR="00CF3DF2">
        <w:rPr>
          <w:rStyle w:val="normaltextrun"/>
          <w:rFonts w:ascii="Arial" w:hAnsi="Arial" w:cs="Arial"/>
          <w:b/>
          <w:bCs/>
          <w:shd w:val="clear" w:color="auto" w:fill="FFFFFF"/>
        </w:rPr>
        <w:t>£6.315m </w:t>
      </w:r>
      <w:r w:rsidR="00CF3DF2">
        <w:rPr>
          <w:rStyle w:val="eop"/>
          <w:rFonts w:ascii="Arial" w:hAnsi="Arial"/>
          <w:shd w:val="clear" w:color="auto" w:fill="FFFFFF"/>
        </w:rPr>
        <w:t> </w:t>
      </w:r>
    </w:p>
    <w:p w14:paraId="275A2E26" w14:textId="77777777" w:rsidR="00732309" w:rsidRDefault="00732309" w:rsidP="00A6107E">
      <w:pPr>
        <w:pStyle w:val="paragraph"/>
        <w:spacing w:before="0" w:beforeAutospacing="0" w:after="0" w:afterAutospacing="0"/>
        <w:jc w:val="both"/>
        <w:textAlignment w:val="baseline"/>
        <w:rPr>
          <w:rStyle w:val="eop"/>
          <w:rFonts w:ascii="Arial" w:hAnsi="Arial"/>
          <w:shd w:val="clear" w:color="auto" w:fill="FFFFFF"/>
        </w:rPr>
      </w:pPr>
    </w:p>
    <w:tbl>
      <w:tblPr>
        <w:tblW w:w="10024" w:type="dxa"/>
        <w:tblInd w:w="-3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65"/>
        <w:gridCol w:w="1114"/>
        <w:gridCol w:w="1417"/>
        <w:gridCol w:w="1466"/>
        <w:gridCol w:w="1187"/>
        <w:gridCol w:w="1371"/>
        <w:gridCol w:w="1504"/>
      </w:tblGrid>
      <w:tr w:rsidR="006E5B54" w14:paraId="5D298556" w14:textId="77777777" w:rsidTr="0CFBF26B">
        <w:trPr>
          <w:trHeight w:val="903"/>
        </w:trPr>
        <w:tc>
          <w:tcPr>
            <w:tcW w:w="1965"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49A923BF" w14:textId="77777777" w:rsidR="003F2675" w:rsidRPr="00064548" w:rsidRDefault="00162F2E" w:rsidP="00555234">
            <w:pPr>
              <w:autoSpaceDE/>
              <w:autoSpaceDN/>
              <w:adjustRightInd/>
              <w:spacing w:after="0"/>
              <w:ind w:hanging="319"/>
              <w:jc w:val="center"/>
              <w:textAlignment w:val="baseline"/>
              <w:rPr>
                <w:rFonts w:ascii="Times New Roman" w:eastAsia="Times New Roman" w:hAnsi="Times New Roman" w:cs="Times New Roman"/>
                <w:color w:val="auto"/>
                <w:lang w:eastAsia="en-GB"/>
              </w:rPr>
            </w:pPr>
            <w:r w:rsidRPr="00064548">
              <w:rPr>
                <w:rFonts w:eastAsia="Times New Roman" w:cs="Arial"/>
                <w:b/>
                <w:bCs/>
                <w:color w:val="FF0000"/>
                <w:sz w:val="20"/>
                <w:szCs w:val="20"/>
                <w:lang w:eastAsia="en-GB"/>
              </w:rPr>
              <w:t> </w:t>
            </w:r>
            <w:r w:rsidRPr="00064548">
              <w:rPr>
                <w:rFonts w:eastAsia="Times New Roman" w:cs="Arial"/>
                <w:color w:val="FF0000"/>
                <w:sz w:val="20"/>
                <w:szCs w:val="20"/>
                <w:lang w:eastAsia="en-GB"/>
              </w:rPr>
              <w:t> </w:t>
            </w:r>
          </w:p>
        </w:tc>
        <w:tc>
          <w:tcPr>
            <w:tcW w:w="1114"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78CD3C36"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Approved Net Budget </w:t>
            </w:r>
            <w:r w:rsidRPr="00064548">
              <w:rPr>
                <w:rFonts w:eastAsia="Times New Roman" w:cs="Arial"/>
                <w:color w:val="auto"/>
                <w:sz w:val="20"/>
                <w:szCs w:val="20"/>
                <w:lang w:eastAsia="en-GB"/>
              </w:rPr>
              <w:t> </w:t>
            </w:r>
          </w:p>
        </w:tc>
        <w:tc>
          <w:tcPr>
            <w:tcW w:w="1417" w:type="dxa"/>
            <w:tcBorders>
              <w:top w:val="single" w:sz="6" w:space="0" w:color="auto"/>
              <w:left w:val="nil"/>
              <w:bottom w:val="nil"/>
              <w:right w:val="single" w:sz="6" w:space="0" w:color="auto"/>
            </w:tcBorders>
            <w:shd w:val="clear" w:color="auto" w:fill="D9D9D9" w:themeFill="background1" w:themeFillShade="D9"/>
            <w:vAlign w:val="center"/>
            <w:hideMark/>
          </w:tcPr>
          <w:p w14:paraId="748BDE0C" w14:textId="77777777" w:rsidR="003F2675" w:rsidRDefault="00162F2E" w:rsidP="00677C9C">
            <w:pPr>
              <w:autoSpaceDE/>
              <w:autoSpaceDN/>
              <w:adjustRightInd/>
              <w:spacing w:after="0"/>
              <w:ind w:left="114" w:hanging="114"/>
              <w:jc w:val="center"/>
              <w:textAlignment w:val="baseline"/>
              <w:rPr>
                <w:rFonts w:eastAsia="Times New Roman" w:cs="Arial"/>
                <w:b/>
                <w:bCs/>
                <w:color w:val="auto"/>
                <w:sz w:val="20"/>
                <w:szCs w:val="20"/>
                <w:lang w:eastAsia="en-GB"/>
              </w:rPr>
            </w:pPr>
            <w:r w:rsidRPr="2ADE0270">
              <w:rPr>
                <w:rFonts w:eastAsia="Times New Roman" w:cs="Arial"/>
                <w:b/>
                <w:bCs/>
                <w:color w:val="auto"/>
                <w:sz w:val="20"/>
                <w:szCs w:val="20"/>
                <w:lang w:eastAsia="en-GB"/>
              </w:rPr>
              <w:t xml:space="preserve">Outturn </w:t>
            </w:r>
          </w:p>
          <w:p w14:paraId="34D26B12" w14:textId="77777777" w:rsidR="003F2675" w:rsidRPr="00064548" w:rsidRDefault="00162F2E" w:rsidP="00677C9C">
            <w:pPr>
              <w:autoSpaceDE/>
              <w:autoSpaceDN/>
              <w:adjustRightInd/>
              <w:spacing w:after="0"/>
              <w:ind w:left="114" w:hanging="114"/>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 xml:space="preserve"> Net Expenditure </w:t>
            </w:r>
            <w:r w:rsidRPr="00064548">
              <w:rPr>
                <w:rFonts w:eastAsia="Times New Roman" w:cs="Arial"/>
                <w:color w:val="auto"/>
                <w:sz w:val="20"/>
                <w:szCs w:val="20"/>
                <w:lang w:eastAsia="en-GB"/>
              </w:rPr>
              <w:t> </w:t>
            </w:r>
          </w:p>
        </w:tc>
        <w:tc>
          <w:tcPr>
            <w:tcW w:w="1466" w:type="dxa"/>
            <w:tcBorders>
              <w:top w:val="single" w:sz="6" w:space="0" w:color="auto"/>
              <w:left w:val="nil"/>
              <w:bottom w:val="nil"/>
              <w:right w:val="single" w:sz="6" w:space="0" w:color="auto"/>
            </w:tcBorders>
            <w:shd w:val="clear" w:color="auto" w:fill="D9D9D9" w:themeFill="background1" w:themeFillShade="D9"/>
            <w:vAlign w:val="center"/>
            <w:hideMark/>
          </w:tcPr>
          <w:p w14:paraId="07625CFF" w14:textId="77777777" w:rsidR="003F2675" w:rsidRPr="00064548" w:rsidRDefault="00162F2E" w:rsidP="2ADE0270">
            <w:pPr>
              <w:shd w:val="clear" w:color="auto" w:fill="D9D9D9" w:themeFill="background1" w:themeFillShade="D9"/>
              <w:autoSpaceDE/>
              <w:autoSpaceDN/>
              <w:adjustRightInd/>
              <w:spacing w:after="0"/>
              <w:jc w:val="center"/>
              <w:textAlignment w:val="baseline"/>
              <w:rPr>
                <w:rFonts w:ascii="Times New Roman" w:eastAsia="Times New Roman" w:hAnsi="Times New Roman" w:cs="Times New Roman"/>
                <w:color w:val="auto"/>
                <w:lang w:eastAsia="en-GB"/>
              </w:rPr>
            </w:pPr>
            <w:r w:rsidRPr="0CFBF26B">
              <w:rPr>
                <w:rFonts w:eastAsia="Times New Roman" w:cs="Arial"/>
                <w:b/>
                <w:bCs/>
                <w:color w:val="auto"/>
                <w:sz w:val="20"/>
                <w:szCs w:val="20"/>
                <w:lang w:eastAsia="en-GB"/>
              </w:rPr>
              <w:t>Outturn</w:t>
            </w:r>
            <w:r w:rsidRPr="00064548">
              <w:rPr>
                <w:rFonts w:eastAsia="Times New Roman" w:cs="Arial"/>
                <w:b/>
                <w:bCs/>
                <w:color w:val="auto"/>
                <w:sz w:val="20"/>
                <w:szCs w:val="20"/>
                <w:lang w:eastAsia="en-GB"/>
              </w:rPr>
              <w:t xml:space="preserve"> Overspend/</w:t>
            </w:r>
            <w:r w:rsidRPr="00064548">
              <w:rPr>
                <w:rFonts w:eastAsia="Times New Roman" w:cs="Arial"/>
                <w:color w:val="auto"/>
                <w:sz w:val="20"/>
                <w:szCs w:val="20"/>
                <w:lang w:eastAsia="en-GB"/>
              </w:rPr>
              <w:t> </w:t>
            </w:r>
          </w:p>
          <w:p w14:paraId="639652BD" w14:textId="77777777" w:rsidR="003F2675" w:rsidRPr="00064548" w:rsidRDefault="00162F2E" w:rsidP="00677C9C">
            <w:pPr>
              <w:shd w:val="clear" w:color="auto" w:fill="D9D9D9"/>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(Underspend) </w:t>
            </w:r>
            <w:r w:rsidRPr="00064548">
              <w:rPr>
                <w:rFonts w:eastAsia="Times New Roman" w:cs="Arial"/>
                <w:color w:val="auto"/>
                <w:sz w:val="20"/>
                <w:szCs w:val="20"/>
                <w:lang w:eastAsia="en-GB"/>
              </w:rPr>
              <w:t> </w:t>
            </w:r>
          </w:p>
        </w:tc>
        <w:tc>
          <w:tcPr>
            <w:tcW w:w="1187" w:type="dxa"/>
            <w:tcBorders>
              <w:top w:val="single" w:sz="6" w:space="0" w:color="auto"/>
              <w:left w:val="nil"/>
              <w:bottom w:val="nil"/>
              <w:right w:val="single" w:sz="6" w:space="0" w:color="auto"/>
            </w:tcBorders>
            <w:shd w:val="clear" w:color="auto" w:fill="D9D9D9" w:themeFill="background1" w:themeFillShade="D9"/>
            <w:vAlign w:val="center"/>
            <w:hideMark/>
          </w:tcPr>
          <w:p w14:paraId="18F10E08"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 </w:t>
            </w:r>
            <w:r w:rsidR="00BE25B2" w:rsidRPr="0CFBF26B">
              <w:rPr>
                <w:rFonts w:eastAsia="Times New Roman" w:cs="Arial"/>
                <w:b/>
                <w:bCs/>
                <w:color w:val="auto"/>
                <w:sz w:val="20"/>
                <w:szCs w:val="20"/>
                <w:lang w:eastAsia="en-GB"/>
              </w:rPr>
              <w:t>Outturn</w:t>
            </w:r>
            <w:r w:rsidRPr="00064548">
              <w:rPr>
                <w:rFonts w:eastAsia="Times New Roman" w:cs="Arial"/>
                <w:b/>
                <w:bCs/>
                <w:color w:val="auto"/>
                <w:sz w:val="20"/>
                <w:szCs w:val="20"/>
                <w:lang w:eastAsia="en-GB"/>
              </w:rPr>
              <w:t xml:space="preserve"> Variance</w:t>
            </w:r>
            <w:r w:rsidRPr="00064548">
              <w:rPr>
                <w:rFonts w:eastAsia="Times New Roman" w:cs="Arial"/>
                <w:color w:val="auto"/>
                <w:sz w:val="20"/>
                <w:szCs w:val="20"/>
                <w:lang w:eastAsia="en-GB"/>
              </w:rPr>
              <w:t> </w:t>
            </w:r>
          </w:p>
        </w:tc>
        <w:tc>
          <w:tcPr>
            <w:tcW w:w="1371" w:type="dxa"/>
            <w:tcBorders>
              <w:top w:val="single" w:sz="6" w:space="0" w:color="auto"/>
              <w:left w:val="nil"/>
              <w:bottom w:val="nil"/>
              <w:right w:val="single" w:sz="6" w:space="0" w:color="auto"/>
            </w:tcBorders>
            <w:shd w:val="clear" w:color="auto" w:fill="D9D9D9" w:themeFill="background1" w:themeFillShade="D9"/>
            <w:vAlign w:val="center"/>
            <w:hideMark/>
          </w:tcPr>
          <w:p w14:paraId="72B3F590" w14:textId="77777777" w:rsidR="003F2675" w:rsidRPr="00064548" w:rsidRDefault="00162F2E" w:rsidP="00677C9C">
            <w:pPr>
              <w:shd w:val="clear" w:color="auto" w:fill="D9D9D9"/>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Quarter 3 Overspend/</w:t>
            </w:r>
            <w:r w:rsidRPr="00064548">
              <w:rPr>
                <w:rFonts w:eastAsia="Times New Roman" w:cs="Arial"/>
                <w:color w:val="auto"/>
                <w:sz w:val="20"/>
                <w:szCs w:val="20"/>
                <w:lang w:eastAsia="en-GB"/>
              </w:rPr>
              <w:t> </w:t>
            </w:r>
          </w:p>
          <w:p w14:paraId="7CE0790A"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(Underspend)</w:t>
            </w:r>
            <w:r w:rsidRPr="00064548">
              <w:rPr>
                <w:rFonts w:eastAsia="Times New Roman" w:cs="Arial"/>
                <w:color w:val="auto"/>
                <w:sz w:val="20"/>
                <w:szCs w:val="20"/>
                <w:lang w:eastAsia="en-GB"/>
              </w:rPr>
              <w:t> </w:t>
            </w:r>
          </w:p>
        </w:tc>
        <w:tc>
          <w:tcPr>
            <w:tcW w:w="1504"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4A906BD8" w14:textId="77777777" w:rsidR="003F2675" w:rsidRDefault="00162F2E" w:rsidP="00677C9C">
            <w:pPr>
              <w:autoSpaceDE/>
              <w:autoSpaceDN/>
              <w:adjustRightInd/>
              <w:spacing w:after="0"/>
              <w:jc w:val="center"/>
              <w:textAlignment w:val="baseline"/>
              <w:rPr>
                <w:rFonts w:eastAsia="Times New Roman" w:cs="Arial"/>
                <w:b/>
                <w:bCs/>
                <w:color w:val="auto"/>
                <w:sz w:val="20"/>
                <w:szCs w:val="20"/>
                <w:lang w:eastAsia="en-GB"/>
              </w:rPr>
            </w:pPr>
            <w:r w:rsidRPr="00064548">
              <w:rPr>
                <w:rFonts w:eastAsia="Times New Roman" w:cs="Arial"/>
                <w:b/>
                <w:bCs/>
                <w:color w:val="auto"/>
                <w:sz w:val="20"/>
                <w:szCs w:val="20"/>
                <w:lang w:eastAsia="en-GB"/>
              </w:rPr>
              <w:t>Movement</w:t>
            </w:r>
            <w:r w:rsidRPr="00064548">
              <w:rPr>
                <w:rFonts w:eastAsia="Times New Roman" w:cs="Arial"/>
                <w:color w:val="auto"/>
                <w:sz w:val="20"/>
                <w:szCs w:val="20"/>
                <w:lang w:eastAsia="en-GB"/>
              </w:rPr>
              <w:t> </w:t>
            </w:r>
            <w:r w:rsidRPr="00064548">
              <w:rPr>
                <w:rFonts w:eastAsia="Times New Roman" w:cs="Arial"/>
                <w:color w:val="auto"/>
                <w:sz w:val="20"/>
                <w:szCs w:val="20"/>
                <w:lang w:eastAsia="en-GB"/>
              </w:rPr>
              <w:br/>
            </w:r>
            <w:r w:rsidRPr="00064548">
              <w:rPr>
                <w:rFonts w:eastAsia="Times New Roman" w:cs="Arial"/>
                <w:b/>
                <w:bCs/>
                <w:color w:val="auto"/>
                <w:sz w:val="20"/>
                <w:szCs w:val="20"/>
                <w:lang w:eastAsia="en-GB"/>
              </w:rPr>
              <w:t xml:space="preserve">Q3 to </w:t>
            </w:r>
          </w:p>
          <w:p w14:paraId="21861703"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2ADE0270">
              <w:rPr>
                <w:rFonts w:eastAsia="Times New Roman" w:cs="Arial"/>
                <w:b/>
                <w:bCs/>
                <w:color w:val="auto"/>
                <w:sz w:val="20"/>
                <w:szCs w:val="20"/>
                <w:lang w:eastAsia="en-GB"/>
              </w:rPr>
              <w:t xml:space="preserve">Outturn </w:t>
            </w:r>
            <w:r w:rsidR="0C795563" w:rsidRPr="2ADE0270">
              <w:rPr>
                <w:rFonts w:eastAsia="Times New Roman" w:cs="Arial"/>
                <w:color w:val="auto"/>
                <w:sz w:val="20"/>
                <w:szCs w:val="20"/>
                <w:lang w:eastAsia="en-GB"/>
              </w:rPr>
              <w:t> </w:t>
            </w:r>
          </w:p>
          <w:p w14:paraId="302D83E4"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color w:val="auto"/>
                <w:sz w:val="20"/>
                <w:szCs w:val="20"/>
                <w:lang w:eastAsia="en-GB"/>
              </w:rPr>
              <w:t> </w:t>
            </w:r>
          </w:p>
        </w:tc>
      </w:tr>
      <w:tr w:rsidR="006E5B54" w14:paraId="17DD735E" w14:textId="77777777" w:rsidTr="0CFBF26B">
        <w:trPr>
          <w:trHeight w:val="80"/>
        </w:trPr>
        <w:tc>
          <w:tcPr>
            <w:tcW w:w="1965"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1CED2756"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FF0000"/>
                <w:sz w:val="20"/>
                <w:szCs w:val="20"/>
                <w:lang w:eastAsia="en-GB"/>
              </w:rPr>
              <w:t> </w:t>
            </w:r>
            <w:r w:rsidRPr="00064548">
              <w:rPr>
                <w:rFonts w:eastAsia="Times New Roman" w:cs="Arial"/>
                <w:color w:val="FF0000"/>
                <w:sz w:val="20"/>
                <w:szCs w:val="20"/>
                <w:lang w:eastAsia="en-GB"/>
              </w:rPr>
              <w:t> </w:t>
            </w:r>
          </w:p>
        </w:tc>
        <w:tc>
          <w:tcPr>
            <w:tcW w:w="1114" w:type="dxa"/>
            <w:tcBorders>
              <w:top w:val="nil"/>
              <w:left w:val="nil"/>
              <w:bottom w:val="single" w:sz="6" w:space="0" w:color="auto"/>
              <w:right w:val="single" w:sz="6" w:space="0" w:color="auto"/>
            </w:tcBorders>
            <w:shd w:val="clear" w:color="auto" w:fill="D9D9D9" w:themeFill="background1" w:themeFillShade="D9"/>
            <w:vAlign w:val="center"/>
            <w:hideMark/>
          </w:tcPr>
          <w:p w14:paraId="510AC1B8"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w:t>
            </w:r>
            <w:r w:rsidRPr="00064548">
              <w:rPr>
                <w:rFonts w:eastAsia="Times New Roman" w:cs="Arial"/>
                <w:color w:val="auto"/>
                <w:sz w:val="20"/>
                <w:szCs w:val="20"/>
                <w:lang w:eastAsia="en-GB"/>
              </w:rPr>
              <w:t> </w:t>
            </w:r>
          </w:p>
        </w:tc>
        <w:tc>
          <w:tcPr>
            <w:tcW w:w="1417" w:type="dxa"/>
            <w:tcBorders>
              <w:top w:val="nil"/>
              <w:left w:val="nil"/>
              <w:bottom w:val="single" w:sz="6" w:space="0" w:color="auto"/>
              <w:right w:val="single" w:sz="6" w:space="0" w:color="auto"/>
            </w:tcBorders>
            <w:shd w:val="clear" w:color="auto" w:fill="D9D9D9" w:themeFill="background1" w:themeFillShade="D9"/>
            <w:vAlign w:val="center"/>
            <w:hideMark/>
          </w:tcPr>
          <w:p w14:paraId="24B68185" w14:textId="77777777" w:rsidR="003F2675" w:rsidRPr="00064548" w:rsidRDefault="00162F2E" w:rsidP="00677C9C">
            <w:pPr>
              <w:autoSpaceDE/>
              <w:autoSpaceDN/>
              <w:adjustRightInd/>
              <w:spacing w:after="0"/>
              <w:ind w:left="114" w:hanging="114"/>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w:t>
            </w:r>
            <w:r w:rsidRPr="00064548">
              <w:rPr>
                <w:rFonts w:eastAsia="Times New Roman" w:cs="Arial"/>
                <w:color w:val="auto"/>
                <w:sz w:val="20"/>
                <w:szCs w:val="20"/>
                <w:lang w:eastAsia="en-GB"/>
              </w:rPr>
              <w:t> </w:t>
            </w:r>
          </w:p>
        </w:tc>
        <w:tc>
          <w:tcPr>
            <w:tcW w:w="1466" w:type="dxa"/>
            <w:tcBorders>
              <w:top w:val="nil"/>
              <w:left w:val="nil"/>
              <w:bottom w:val="single" w:sz="6" w:space="0" w:color="auto"/>
              <w:right w:val="single" w:sz="6" w:space="0" w:color="auto"/>
            </w:tcBorders>
            <w:shd w:val="clear" w:color="auto" w:fill="D9D9D9" w:themeFill="background1" w:themeFillShade="D9"/>
            <w:vAlign w:val="center"/>
            <w:hideMark/>
          </w:tcPr>
          <w:p w14:paraId="08937E59"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w:t>
            </w:r>
            <w:r w:rsidRPr="00064548">
              <w:rPr>
                <w:rFonts w:eastAsia="Times New Roman" w:cs="Arial"/>
                <w:color w:val="auto"/>
                <w:sz w:val="20"/>
                <w:szCs w:val="20"/>
                <w:lang w:eastAsia="en-GB"/>
              </w:rPr>
              <w:t> </w:t>
            </w:r>
          </w:p>
        </w:tc>
        <w:tc>
          <w:tcPr>
            <w:tcW w:w="1187" w:type="dxa"/>
            <w:tcBorders>
              <w:top w:val="nil"/>
              <w:left w:val="nil"/>
              <w:bottom w:val="single" w:sz="6" w:space="0" w:color="auto"/>
              <w:right w:val="single" w:sz="6" w:space="0" w:color="auto"/>
            </w:tcBorders>
            <w:shd w:val="clear" w:color="auto" w:fill="D9D9D9" w:themeFill="background1" w:themeFillShade="D9"/>
            <w:vAlign w:val="center"/>
            <w:hideMark/>
          </w:tcPr>
          <w:p w14:paraId="1D62C432"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w:t>
            </w:r>
            <w:r w:rsidRPr="00064548">
              <w:rPr>
                <w:rFonts w:eastAsia="Times New Roman" w:cs="Arial"/>
                <w:color w:val="auto"/>
                <w:sz w:val="20"/>
                <w:szCs w:val="20"/>
                <w:lang w:eastAsia="en-GB"/>
              </w:rPr>
              <w:t> </w:t>
            </w:r>
          </w:p>
        </w:tc>
        <w:tc>
          <w:tcPr>
            <w:tcW w:w="1371" w:type="dxa"/>
            <w:tcBorders>
              <w:top w:val="nil"/>
              <w:left w:val="nil"/>
              <w:bottom w:val="single" w:sz="6" w:space="0" w:color="auto"/>
              <w:right w:val="single" w:sz="6" w:space="0" w:color="auto"/>
            </w:tcBorders>
            <w:shd w:val="clear" w:color="auto" w:fill="D9D9D9" w:themeFill="background1" w:themeFillShade="D9"/>
            <w:vAlign w:val="center"/>
            <w:hideMark/>
          </w:tcPr>
          <w:p w14:paraId="710D7DEA"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w:t>
            </w:r>
            <w:r w:rsidRPr="00064548">
              <w:rPr>
                <w:rFonts w:eastAsia="Times New Roman" w:cs="Arial"/>
                <w:color w:val="auto"/>
                <w:sz w:val="20"/>
                <w:szCs w:val="20"/>
                <w:lang w:eastAsia="en-GB"/>
              </w:rPr>
              <w:t> </w:t>
            </w:r>
          </w:p>
        </w:tc>
        <w:tc>
          <w:tcPr>
            <w:tcW w:w="1504" w:type="dxa"/>
            <w:tcBorders>
              <w:top w:val="nil"/>
              <w:left w:val="nil"/>
              <w:bottom w:val="single" w:sz="6" w:space="0" w:color="auto"/>
              <w:right w:val="single" w:sz="6" w:space="0" w:color="auto"/>
            </w:tcBorders>
            <w:shd w:val="clear" w:color="auto" w:fill="D9D9D9" w:themeFill="background1" w:themeFillShade="D9"/>
            <w:vAlign w:val="center"/>
            <w:hideMark/>
          </w:tcPr>
          <w:p w14:paraId="2DA46C5A" w14:textId="77777777" w:rsidR="003F2675" w:rsidRPr="00064548" w:rsidRDefault="00162F2E" w:rsidP="00677C9C">
            <w:pPr>
              <w:autoSpaceDE/>
              <w:autoSpaceDN/>
              <w:adjustRightInd/>
              <w:spacing w:after="0"/>
              <w:jc w:val="center"/>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£m</w:t>
            </w:r>
            <w:r w:rsidRPr="00064548">
              <w:rPr>
                <w:rFonts w:eastAsia="Times New Roman" w:cs="Arial"/>
                <w:color w:val="auto"/>
                <w:sz w:val="20"/>
                <w:szCs w:val="20"/>
                <w:lang w:eastAsia="en-GB"/>
              </w:rPr>
              <w:t> </w:t>
            </w:r>
          </w:p>
        </w:tc>
      </w:tr>
      <w:tr w:rsidR="006E5B54" w14:paraId="55B318B0" w14:textId="77777777" w:rsidTr="0CFBF26B">
        <w:trPr>
          <w:trHeight w:val="330"/>
        </w:trPr>
        <w:tc>
          <w:tcPr>
            <w:tcW w:w="1965"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259F993E" w14:textId="77777777" w:rsidR="003F2675" w:rsidRPr="00597476" w:rsidRDefault="00162F2E" w:rsidP="00677C9C">
            <w:pPr>
              <w:autoSpaceDE/>
              <w:autoSpaceDN/>
              <w:adjustRightInd/>
              <w:spacing w:after="0"/>
              <w:jc w:val="left"/>
              <w:textAlignment w:val="baseline"/>
              <w:rPr>
                <w:rFonts w:eastAsia="Times New Roman" w:cs="Arial"/>
                <w:b/>
                <w:bCs/>
                <w:color w:val="auto"/>
                <w:sz w:val="20"/>
                <w:szCs w:val="20"/>
                <w:lang w:eastAsia="en-GB"/>
              </w:rPr>
            </w:pPr>
            <w:r w:rsidRPr="00597476">
              <w:rPr>
                <w:rFonts w:eastAsia="Times New Roman" w:cs="Arial"/>
                <w:b/>
                <w:bCs/>
                <w:color w:val="auto"/>
                <w:sz w:val="20"/>
                <w:szCs w:val="20"/>
                <w:lang w:eastAsia="en-GB"/>
              </w:rPr>
              <w:t>Physical Support</w:t>
            </w:r>
          </w:p>
        </w:tc>
        <w:tc>
          <w:tcPr>
            <w:tcW w:w="1114" w:type="dxa"/>
            <w:tcBorders>
              <w:top w:val="single" w:sz="6" w:space="0" w:color="auto"/>
              <w:left w:val="single" w:sz="6" w:space="0" w:color="auto"/>
              <w:bottom w:val="single" w:sz="6" w:space="0" w:color="auto"/>
              <w:right w:val="single" w:sz="6" w:space="0" w:color="auto"/>
            </w:tcBorders>
            <w:shd w:val="clear" w:color="auto" w:fill="auto"/>
            <w:vAlign w:val="center"/>
          </w:tcPr>
          <w:p w14:paraId="76C6ACEC" w14:textId="77777777" w:rsidR="003F2675" w:rsidRPr="00597476" w:rsidRDefault="00162F2E" w:rsidP="00677C9C">
            <w:pPr>
              <w:autoSpaceDE/>
              <w:autoSpaceDN/>
              <w:adjustRightInd/>
              <w:spacing w:after="0"/>
              <w:ind w:right="116"/>
              <w:jc w:val="right"/>
              <w:textAlignment w:val="baseline"/>
              <w:rPr>
                <w:rFonts w:eastAsia="Times New Roman" w:cs="Arial"/>
                <w:color w:val="auto"/>
                <w:sz w:val="20"/>
                <w:szCs w:val="20"/>
                <w:lang w:eastAsia="en-GB"/>
              </w:rPr>
            </w:pPr>
            <w:r>
              <w:rPr>
                <w:rFonts w:eastAsia="Times New Roman" w:cs="Arial"/>
                <w:color w:val="auto"/>
                <w:sz w:val="20"/>
                <w:szCs w:val="20"/>
                <w:lang w:eastAsia="en-GB"/>
              </w:rPr>
              <w:t>182.798</w:t>
            </w:r>
          </w:p>
        </w:tc>
        <w:tc>
          <w:tcPr>
            <w:tcW w:w="1417" w:type="dxa"/>
            <w:tcBorders>
              <w:top w:val="single" w:sz="6" w:space="0" w:color="auto"/>
              <w:left w:val="nil"/>
              <w:bottom w:val="single" w:sz="6" w:space="0" w:color="auto"/>
              <w:right w:val="single" w:sz="6" w:space="0" w:color="auto"/>
            </w:tcBorders>
            <w:shd w:val="clear" w:color="auto" w:fill="auto"/>
            <w:vAlign w:val="center"/>
          </w:tcPr>
          <w:p w14:paraId="3EE4CBED" w14:textId="77777777" w:rsidR="003F2675" w:rsidRPr="00597476" w:rsidRDefault="00162F2E" w:rsidP="00677C9C">
            <w:pPr>
              <w:autoSpaceDE/>
              <w:autoSpaceDN/>
              <w:adjustRightInd/>
              <w:spacing w:after="0"/>
              <w:ind w:left="114" w:right="135" w:hanging="114"/>
              <w:jc w:val="right"/>
              <w:textAlignment w:val="baseline"/>
              <w:rPr>
                <w:rFonts w:eastAsia="Times New Roman" w:cs="Arial"/>
                <w:color w:val="auto"/>
                <w:sz w:val="20"/>
                <w:szCs w:val="20"/>
                <w:lang w:eastAsia="en-GB"/>
              </w:rPr>
            </w:pPr>
            <w:r w:rsidRPr="00597476">
              <w:rPr>
                <w:rFonts w:eastAsia="Times New Roman" w:cs="Arial"/>
                <w:color w:val="auto"/>
                <w:sz w:val="20"/>
                <w:szCs w:val="20"/>
                <w:lang w:eastAsia="en-GB"/>
              </w:rPr>
              <w:t>178.463</w:t>
            </w:r>
          </w:p>
        </w:tc>
        <w:tc>
          <w:tcPr>
            <w:tcW w:w="1466"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6A70160A" w14:textId="77777777" w:rsidR="003F2675" w:rsidRPr="00597476" w:rsidRDefault="00162F2E" w:rsidP="00677C9C">
            <w:pPr>
              <w:autoSpaceDE/>
              <w:autoSpaceDN/>
              <w:adjustRightInd/>
              <w:spacing w:after="0"/>
              <w:ind w:right="181"/>
              <w:jc w:val="right"/>
              <w:textAlignment w:val="baseline"/>
              <w:rPr>
                <w:rFonts w:eastAsia="Times New Roman" w:cs="Arial"/>
                <w:b/>
                <w:bCs/>
                <w:color w:val="auto"/>
                <w:sz w:val="20"/>
                <w:szCs w:val="20"/>
                <w:lang w:eastAsia="en-GB"/>
              </w:rPr>
            </w:pPr>
            <w:r w:rsidRPr="00597476">
              <w:rPr>
                <w:rFonts w:eastAsia="Times New Roman" w:cs="Arial"/>
                <w:b/>
                <w:bCs/>
                <w:color w:val="auto"/>
                <w:sz w:val="20"/>
                <w:szCs w:val="20"/>
                <w:lang w:eastAsia="en-GB"/>
              </w:rPr>
              <w:t>-4.335</w:t>
            </w:r>
          </w:p>
        </w:tc>
        <w:tc>
          <w:tcPr>
            <w:tcW w:w="1187" w:type="dxa"/>
            <w:tcBorders>
              <w:top w:val="single" w:sz="6" w:space="0" w:color="auto"/>
              <w:left w:val="nil"/>
              <w:bottom w:val="single" w:sz="6" w:space="0" w:color="auto"/>
              <w:right w:val="single" w:sz="6" w:space="0" w:color="auto"/>
            </w:tcBorders>
            <w:shd w:val="clear" w:color="auto" w:fill="auto"/>
            <w:vAlign w:val="center"/>
          </w:tcPr>
          <w:p w14:paraId="690A80C1" w14:textId="77777777" w:rsidR="003F2675" w:rsidRPr="00597476" w:rsidRDefault="00162F2E" w:rsidP="00677C9C">
            <w:pPr>
              <w:autoSpaceDE/>
              <w:autoSpaceDN/>
              <w:adjustRightInd/>
              <w:spacing w:after="0"/>
              <w:ind w:right="93"/>
              <w:jc w:val="right"/>
              <w:textAlignment w:val="baseline"/>
              <w:rPr>
                <w:rFonts w:eastAsia="Times New Roman" w:cs="Arial"/>
                <w:color w:val="auto"/>
                <w:sz w:val="20"/>
                <w:szCs w:val="20"/>
                <w:lang w:eastAsia="en-GB"/>
              </w:rPr>
            </w:pPr>
            <w:r>
              <w:rPr>
                <w:rFonts w:eastAsia="Times New Roman" w:cs="Arial"/>
                <w:color w:val="auto"/>
                <w:sz w:val="20"/>
                <w:szCs w:val="20"/>
                <w:lang w:eastAsia="en-GB"/>
              </w:rPr>
              <w:t>-2.37%</w:t>
            </w:r>
          </w:p>
        </w:tc>
        <w:tc>
          <w:tcPr>
            <w:tcW w:w="1371"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52FA675F" w14:textId="77777777" w:rsidR="003F2675" w:rsidRPr="00597476" w:rsidRDefault="00162F2E" w:rsidP="00677C9C">
            <w:pPr>
              <w:autoSpaceDE/>
              <w:autoSpaceDN/>
              <w:adjustRightInd/>
              <w:spacing w:after="0"/>
              <w:ind w:right="186"/>
              <w:jc w:val="right"/>
              <w:textAlignment w:val="baseline"/>
              <w:rPr>
                <w:rFonts w:eastAsia="Times New Roman" w:cs="Arial"/>
                <w:color w:val="auto"/>
                <w:sz w:val="20"/>
                <w:szCs w:val="20"/>
                <w:lang w:eastAsia="en-GB"/>
              </w:rPr>
            </w:pPr>
            <w:r>
              <w:rPr>
                <w:rFonts w:eastAsia="Times New Roman" w:cs="Arial"/>
                <w:color w:val="auto"/>
                <w:sz w:val="20"/>
                <w:szCs w:val="20"/>
                <w:lang w:eastAsia="en-GB"/>
              </w:rPr>
              <w:t>0.118</w:t>
            </w:r>
          </w:p>
        </w:tc>
        <w:tc>
          <w:tcPr>
            <w:tcW w:w="1504" w:type="dxa"/>
            <w:tcBorders>
              <w:top w:val="single" w:sz="6" w:space="0" w:color="auto"/>
              <w:left w:val="single" w:sz="6" w:space="0" w:color="auto"/>
              <w:bottom w:val="single" w:sz="6" w:space="0" w:color="auto"/>
              <w:right w:val="single" w:sz="6" w:space="0" w:color="auto"/>
            </w:tcBorders>
            <w:shd w:val="clear" w:color="auto" w:fill="auto"/>
            <w:vAlign w:val="center"/>
          </w:tcPr>
          <w:p w14:paraId="6B5C79A1" w14:textId="77777777" w:rsidR="003F2675" w:rsidRPr="00597476" w:rsidRDefault="00162F2E" w:rsidP="00677C9C">
            <w:pPr>
              <w:autoSpaceDE/>
              <w:autoSpaceDN/>
              <w:adjustRightInd/>
              <w:spacing w:after="0"/>
              <w:ind w:right="134"/>
              <w:jc w:val="right"/>
              <w:textAlignment w:val="baseline"/>
              <w:rPr>
                <w:rFonts w:eastAsia="Times New Roman" w:cs="Arial"/>
                <w:color w:val="auto"/>
                <w:sz w:val="20"/>
                <w:szCs w:val="20"/>
                <w:lang w:eastAsia="en-GB"/>
              </w:rPr>
            </w:pPr>
            <w:r>
              <w:rPr>
                <w:rFonts w:eastAsia="Times New Roman" w:cs="Arial"/>
                <w:color w:val="auto"/>
                <w:sz w:val="20"/>
                <w:szCs w:val="20"/>
                <w:lang w:eastAsia="en-GB"/>
              </w:rPr>
              <w:t>-4.453</w:t>
            </w:r>
          </w:p>
        </w:tc>
      </w:tr>
      <w:tr w:rsidR="006E5B54" w14:paraId="01155595" w14:textId="77777777" w:rsidTr="0CFBF26B">
        <w:trPr>
          <w:trHeight w:val="407"/>
        </w:trPr>
        <w:tc>
          <w:tcPr>
            <w:tcW w:w="1965"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52C6F3E0" w14:textId="77777777" w:rsidR="003F2675" w:rsidRPr="00597476" w:rsidRDefault="00162F2E" w:rsidP="00677C9C">
            <w:pPr>
              <w:autoSpaceDE/>
              <w:autoSpaceDN/>
              <w:adjustRightInd/>
              <w:spacing w:after="0"/>
              <w:jc w:val="left"/>
              <w:textAlignment w:val="baseline"/>
              <w:rPr>
                <w:rFonts w:eastAsia="Times New Roman" w:cs="Arial"/>
                <w:b/>
                <w:bCs/>
                <w:color w:val="auto"/>
                <w:sz w:val="20"/>
                <w:szCs w:val="20"/>
                <w:lang w:eastAsia="en-GB"/>
              </w:rPr>
            </w:pPr>
            <w:r>
              <w:rPr>
                <w:rFonts w:eastAsia="Times New Roman" w:cs="Arial"/>
                <w:b/>
                <w:bCs/>
                <w:color w:val="auto"/>
                <w:sz w:val="20"/>
                <w:szCs w:val="20"/>
                <w:lang w:eastAsia="en-GB"/>
              </w:rPr>
              <w:t>Staffing</w:t>
            </w:r>
          </w:p>
        </w:tc>
        <w:tc>
          <w:tcPr>
            <w:tcW w:w="1114" w:type="dxa"/>
            <w:tcBorders>
              <w:top w:val="nil"/>
              <w:left w:val="single" w:sz="6" w:space="0" w:color="auto"/>
              <w:bottom w:val="single" w:sz="6" w:space="0" w:color="auto"/>
              <w:right w:val="single" w:sz="6" w:space="0" w:color="auto"/>
            </w:tcBorders>
            <w:shd w:val="clear" w:color="auto" w:fill="auto"/>
            <w:vAlign w:val="center"/>
          </w:tcPr>
          <w:p w14:paraId="3586AD58" w14:textId="77777777" w:rsidR="003F2675" w:rsidRPr="00597476" w:rsidRDefault="00162F2E" w:rsidP="00677C9C">
            <w:pPr>
              <w:autoSpaceDE/>
              <w:autoSpaceDN/>
              <w:adjustRightInd/>
              <w:spacing w:after="0"/>
              <w:ind w:right="116"/>
              <w:jc w:val="right"/>
              <w:textAlignment w:val="baseline"/>
              <w:rPr>
                <w:rFonts w:eastAsia="Times New Roman" w:cs="Arial"/>
                <w:color w:val="auto"/>
                <w:sz w:val="20"/>
                <w:szCs w:val="20"/>
                <w:lang w:eastAsia="en-GB"/>
              </w:rPr>
            </w:pPr>
            <w:r>
              <w:rPr>
                <w:rFonts w:eastAsia="Times New Roman" w:cs="Arial"/>
                <w:color w:val="auto"/>
                <w:sz w:val="20"/>
                <w:szCs w:val="20"/>
                <w:lang w:eastAsia="en-GB"/>
              </w:rPr>
              <w:t>19.229</w:t>
            </w:r>
          </w:p>
        </w:tc>
        <w:tc>
          <w:tcPr>
            <w:tcW w:w="1417" w:type="dxa"/>
            <w:tcBorders>
              <w:top w:val="nil"/>
              <w:left w:val="nil"/>
              <w:bottom w:val="single" w:sz="6" w:space="0" w:color="auto"/>
              <w:right w:val="single" w:sz="6" w:space="0" w:color="auto"/>
            </w:tcBorders>
            <w:shd w:val="clear" w:color="auto" w:fill="auto"/>
            <w:vAlign w:val="center"/>
          </w:tcPr>
          <w:p w14:paraId="0AB4E210" w14:textId="77777777" w:rsidR="003F2675" w:rsidRPr="00597476" w:rsidRDefault="00162F2E" w:rsidP="00677C9C">
            <w:pPr>
              <w:autoSpaceDE/>
              <w:autoSpaceDN/>
              <w:adjustRightInd/>
              <w:spacing w:after="0"/>
              <w:ind w:left="114" w:right="135" w:hanging="114"/>
              <w:jc w:val="right"/>
              <w:textAlignment w:val="baseline"/>
              <w:rPr>
                <w:rFonts w:eastAsia="Times New Roman" w:cs="Arial"/>
                <w:color w:val="auto"/>
                <w:sz w:val="20"/>
                <w:szCs w:val="20"/>
                <w:lang w:eastAsia="en-GB"/>
              </w:rPr>
            </w:pPr>
            <w:r w:rsidRPr="00597476">
              <w:rPr>
                <w:rFonts w:eastAsia="Times New Roman" w:cs="Arial"/>
                <w:color w:val="auto"/>
                <w:sz w:val="20"/>
                <w:szCs w:val="20"/>
                <w:lang w:eastAsia="en-GB"/>
              </w:rPr>
              <w:t>19.045</w:t>
            </w:r>
          </w:p>
        </w:tc>
        <w:tc>
          <w:tcPr>
            <w:tcW w:w="1466" w:type="dxa"/>
            <w:tcBorders>
              <w:top w:val="nil"/>
              <w:left w:val="nil"/>
              <w:bottom w:val="single" w:sz="6" w:space="0" w:color="auto"/>
              <w:right w:val="single" w:sz="6" w:space="0" w:color="auto"/>
            </w:tcBorders>
            <w:shd w:val="clear" w:color="auto" w:fill="D9D9D9" w:themeFill="background1" w:themeFillShade="D9"/>
            <w:vAlign w:val="center"/>
          </w:tcPr>
          <w:p w14:paraId="5851322A" w14:textId="77777777" w:rsidR="003F2675" w:rsidRPr="00597476" w:rsidRDefault="00162F2E" w:rsidP="00677C9C">
            <w:pPr>
              <w:autoSpaceDE/>
              <w:autoSpaceDN/>
              <w:adjustRightInd/>
              <w:spacing w:after="0"/>
              <w:ind w:right="181"/>
              <w:jc w:val="right"/>
              <w:textAlignment w:val="baseline"/>
              <w:rPr>
                <w:rFonts w:eastAsia="Times New Roman" w:cs="Arial"/>
                <w:b/>
                <w:bCs/>
                <w:color w:val="auto"/>
                <w:sz w:val="20"/>
                <w:szCs w:val="20"/>
                <w:lang w:eastAsia="en-GB"/>
              </w:rPr>
            </w:pPr>
            <w:r w:rsidRPr="00597476">
              <w:rPr>
                <w:rFonts w:eastAsia="Times New Roman" w:cs="Arial"/>
                <w:b/>
                <w:bCs/>
                <w:color w:val="auto"/>
                <w:sz w:val="20"/>
                <w:szCs w:val="20"/>
                <w:lang w:eastAsia="en-GB"/>
              </w:rPr>
              <w:t>-0.184</w:t>
            </w:r>
          </w:p>
        </w:tc>
        <w:tc>
          <w:tcPr>
            <w:tcW w:w="1187" w:type="dxa"/>
            <w:tcBorders>
              <w:top w:val="nil"/>
              <w:left w:val="nil"/>
              <w:bottom w:val="single" w:sz="6" w:space="0" w:color="auto"/>
              <w:right w:val="single" w:sz="6" w:space="0" w:color="auto"/>
            </w:tcBorders>
            <w:shd w:val="clear" w:color="auto" w:fill="auto"/>
            <w:vAlign w:val="center"/>
          </w:tcPr>
          <w:p w14:paraId="3DFE517F" w14:textId="77777777" w:rsidR="003F2675" w:rsidRPr="00597476" w:rsidRDefault="00162F2E" w:rsidP="00677C9C">
            <w:pPr>
              <w:autoSpaceDE/>
              <w:autoSpaceDN/>
              <w:adjustRightInd/>
              <w:spacing w:after="0"/>
              <w:ind w:right="93"/>
              <w:jc w:val="right"/>
              <w:textAlignment w:val="baseline"/>
              <w:rPr>
                <w:rFonts w:eastAsia="Times New Roman" w:cs="Arial"/>
                <w:color w:val="auto"/>
                <w:sz w:val="20"/>
                <w:szCs w:val="20"/>
                <w:lang w:eastAsia="en-GB"/>
              </w:rPr>
            </w:pPr>
            <w:r>
              <w:rPr>
                <w:rFonts w:eastAsia="Times New Roman" w:cs="Arial"/>
                <w:color w:val="auto"/>
                <w:sz w:val="20"/>
                <w:szCs w:val="20"/>
                <w:lang w:eastAsia="en-GB"/>
              </w:rPr>
              <w:t>-0.96%</w:t>
            </w:r>
          </w:p>
        </w:tc>
        <w:tc>
          <w:tcPr>
            <w:tcW w:w="1371" w:type="dxa"/>
            <w:tcBorders>
              <w:top w:val="nil"/>
              <w:left w:val="nil"/>
              <w:bottom w:val="single" w:sz="6" w:space="0" w:color="auto"/>
              <w:right w:val="single" w:sz="6" w:space="0" w:color="auto"/>
            </w:tcBorders>
            <w:shd w:val="clear" w:color="auto" w:fill="D9D9D9" w:themeFill="background1" w:themeFillShade="D9"/>
            <w:vAlign w:val="center"/>
          </w:tcPr>
          <w:p w14:paraId="60893F9D" w14:textId="77777777" w:rsidR="003F2675" w:rsidRPr="00597476" w:rsidRDefault="00162F2E" w:rsidP="00677C9C">
            <w:pPr>
              <w:autoSpaceDE/>
              <w:autoSpaceDN/>
              <w:adjustRightInd/>
              <w:spacing w:after="0"/>
              <w:ind w:right="186"/>
              <w:jc w:val="right"/>
              <w:textAlignment w:val="baseline"/>
              <w:rPr>
                <w:rFonts w:eastAsia="Times New Roman" w:cs="Arial"/>
                <w:color w:val="auto"/>
                <w:sz w:val="20"/>
                <w:szCs w:val="20"/>
                <w:lang w:eastAsia="en-GB"/>
              </w:rPr>
            </w:pPr>
            <w:r>
              <w:rPr>
                <w:rFonts w:eastAsia="Times New Roman" w:cs="Arial"/>
                <w:color w:val="auto"/>
                <w:sz w:val="20"/>
                <w:szCs w:val="20"/>
                <w:lang w:eastAsia="en-GB"/>
              </w:rPr>
              <w:t>-0.187</w:t>
            </w:r>
          </w:p>
        </w:tc>
        <w:tc>
          <w:tcPr>
            <w:tcW w:w="1504" w:type="dxa"/>
            <w:tcBorders>
              <w:top w:val="nil"/>
              <w:left w:val="single" w:sz="6" w:space="0" w:color="auto"/>
              <w:bottom w:val="single" w:sz="6" w:space="0" w:color="auto"/>
              <w:right w:val="single" w:sz="6" w:space="0" w:color="auto"/>
            </w:tcBorders>
            <w:shd w:val="clear" w:color="auto" w:fill="auto"/>
            <w:vAlign w:val="center"/>
          </w:tcPr>
          <w:p w14:paraId="0C5A5902" w14:textId="77777777" w:rsidR="003F2675" w:rsidRPr="00597476" w:rsidRDefault="00162F2E" w:rsidP="00677C9C">
            <w:pPr>
              <w:autoSpaceDE/>
              <w:autoSpaceDN/>
              <w:adjustRightInd/>
              <w:spacing w:after="0"/>
              <w:ind w:right="134"/>
              <w:jc w:val="right"/>
              <w:textAlignment w:val="baseline"/>
              <w:rPr>
                <w:rFonts w:eastAsia="Times New Roman" w:cs="Arial"/>
                <w:color w:val="auto"/>
                <w:sz w:val="20"/>
                <w:szCs w:val="20"/>
                <w:lang w:eastAsia="en-GB"/>
              </w:rPr>
            </w:pPr>
            <w:r>
              <w:rPr>
                <w:rFonts w:eastAsia="Times New Roman" w:cs="Arial"/>
                <w:color w:val="auto"/>
                <w:sz w:val="20"/>
                <w:szCs w:val="20"/>
                <w:lang w:eastAsia="en-GB"/>
              </w:rPr>
              <w:t>0.003</w:t>
            </w:r>
          </w:p>
        </w:tc>
      </w:tr>
      <w:tr w:rsidR="006E5B54" w14:paraId="28E8AD4E" w14:textId="77777777" w:rsidTr="0CFBF26B">
        <w:trPr>
          <w:trHeight w:val="295"/>
        </w:trPr>
        <w:tc>
          <w:tcPr>
            <w:tcW w:w="1965"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2A80DCEB" w14:textId="77777777" w:rsidR="003F2675" w:rsidRPr="00597476" w:rsidRDefault="00162F2E" w:rsidP="00677C9C">
            <w:pPr>
              <w:autoSpaceDE/>
              <w:autoSpaceDN/>
              <w:adjustRightInd/>
              <w:spacing w:after="0"/>
              <w:jc w:val="left"/>
              <w:textAlignment w:val="baseline"/>
              <w:rPr>
                <w:rFonts w:eastAsia="Times New Roman" w:cs="Arial"/>
                <w:b/>
                <w:bCs/>
                <w:color w:val="auto"/>
                <w:sz w:val="20"/>
                <w:szCs w:val="20"/>
                <w:lang w:eastAsia="en-GB"/>
              </w:rPr>
            </w:pPr>
            <w:r>
              <w:rPr>
                <w:rFonts w:eastAsia="Times New Roman" w:cs="Arial"/>
                <w:b/>
                <w:bCs/>
                <w:color w:val="auto"/>
                <w:sz w:val="20"/>
                <w:szCs w:val="20"/>
                <w:lang w:eastAsia="en-GB"/>
              </w:rPr>
              <w:t>Prevention</w:t>
            </w:r>
          </w:p>
        </w:tc>
        <w:tc>
          <w:tcPr>
            <w:tcW w:w="1114" w:type="dxa"/>
            <w:tcBorders>
              <w:top w:val="nil"/>
              <w:left w:val="single" w:sz="6" w:space="0" w:color="auto"/>
              <w:bottom w:val="single" w:sz="6" w:space="0" w:color="auto"/>
              <w:right w:val="single" w:sz="6" w:space="0" w:color="auto"/>
            </w:tcBorders>
            <w:shd w:val="clear" w:color="auto" w:fill="auto"/>
            <w:vAlign w:val="center"/>
          </w:tcPr>
          <w:p w14:paraId="2CA7E828" w14:textId="77777777" w:rsidR="003F2675" w:rsidRPr="00597476" w:rsidRDefault="00162F2E" w:rsidP="00677C9C">
            <w:pPr>
              <w:autoSpaceDE/>
              <w:autoSpaceDN/>
              <w:adjustRightInd/>
              <w:spacing w:after="0"/>
              <w:ind w:right="116"/>
              <w:jc w:val="right"/>
              <w:textAlignment w:val="baseline"/>
              <w:rPr>
                <w:rFonts w:eastAsia="Times New Roman" w:cs="Arial"/>
                <w:color w:val="auto"/>
                <w:sz w:val="20"/>
                <w:szCs w:val="20"/>
                <w:lang w:eastAsia="en-GB"/>
              </w:rPr>
            </w:pPr>
            <w:r>
              <w:rPr>
                <w:rFonts w:eastAsia="Times New Roman" w:cs="Arial"/>
                <w:color w:val="auto"/>
                <w:sz w:val="20"/>
                <w:szCs w:val="20"/>
                <w:lang w:eastAsia="en-GB"/>
              </w:rPr>
              <w:t>4.352</w:t>
            </w:r>
          </w:p>
        </w:tc>
        <w:tc>
          <w:tcPr>
            <w:tcW w:w="1417" w:type="dxa"/>
            <w:tcBorders>
              <w:top w:val="nil"/>
              <w:left w:val="nil"/>
              <w:bottom w:val="single" w:sz="6" w:space="0" w:color="auto"/>
              <w:right w:val="single" w:sz="6" w:space="0" w:color="auto"/>
            </w:tcBorders>
            <w:shd w:val="clear" w:color="auto" w:fill="auto"/>
            <w:vAlign w:val="center"/>
          </w:tcPr>
          <w:p w14:paraId="40822222" w14:textId="77777777" w:rsidR="003F2675" w:rsidRPr="00597476" w:rsidRDefault="00162F2E" w:rsidP="00677C9C">
            <w:pPr>
              <w:autoSpaceDE/>
              <w:autoSpaceDN/>
              <w:adjustRightInd/>
              <w:spacing w:after="0"/>
              <w:ind w:left="114" w:right="135" w:hanging="114"/>
              <w:jc w:val="right"/>
              <w:textAlignment w:val="baseline"/>
              <w:rPr>
                <w:rFonts w:eastAsia="Times New Roman" w:cs="Arial"/>
                <w:color w:val="auto"/>
                <w:sz w:val="20"/>
                <w:szCs w:val="20"/>
                <w:lang w:eastAsia="en-GB"/>
              </w:rPr>
            </w:pPr>
            <w:r w:rsidRPr="00597476">
              <w:rPr>
                <w:rFonts w:eastAsia="Times New Roman" w:cs="Arial"/>
                <w:color w:val="auto"/>
                <w:sz w:val="20"/>
                <w:szCs w:val="20"/>
                <w:lang w:eastAsia="en-GB"/>
              </w:rPr>
              <w:t>3.313</w:t>
            </w:r>
          </w:p>
        </w:tc>
        <w:tc>
          <w:tcPr>
            <w:tcW w:w="1466" w:type="dxa"/>
            <w:tcBorders>
              <w:top w:val="nil"/>
              <w:left w:val="nil"/>
              <w:bottom w:val="single" w:sz="6" w:space="0" w:color="auto"/>
              <w:right w:val="single" w:sz="6" w:space="0" w:color="auto"/>
            </w:tcBorders>
            <w:shd w:val="clear" w:color="auto" w:fill="D9D9D9" w:themeFill="background1" w:themeFillShade="D9"/>
            <w:vAlign w:val="center"/>
          </w:tcPr>
          <w:p w14:paraId="5B643B25" w14:textId="77777777" w:rsidR="003F2675" w:rsidRPr="00597476" w:rsidRDefault="00162F2E" w:rsidP="00677C9C">
            <w:pPr>
              <w:autoSpaceDE/>
              <w:autoSpaceDN/>
              <w:adjustRightInd/>
              <w:spacing w:after="0"/>
              <w:ind w:right="181"/>
              <w:jc w:val="right"/>
              <w:textAlignment w:val="baseline"/>
              <w:rPr>
                <w:rFonts w:eastAsia="Times New Roman" w:cs="Arial"/>
                <w:b/>
                <w:bCs/>
                <w:color w:val="auto"/>
                <w:sz w:val="20"/>
                <w:szCs w:val="20"/>
                <w:lang w:eastAsia="en-GB"/>
              </w:rPr>
            </w:pPr>
            <w:r w:rsidRPr="00597476">
              <w:rPr>
                <w:rFonts w:eastAsia="Times New Roman" w:cs="Arial"/>
                <w:b/>
                <w:bCs/>
                <w:color w:val="auto"/>
                <w:sz w:val="20"/>
                <w:szCs w:val="20"/>
                <w:lang w:eastAsia="en-GB"/>
              </w:rPr>
              <w:t>-1.038</w:t>
            </w:r>
          </w:p>
        </w:tc>
        <w:tc>
          <w:tcPr>
            <w:tcW w:w="1187" w:type="dxa"/>
            <w:tcBorders>
              <w:top w:val="nil"/>
              <w:left w:val="nil"/>
              <w:bottom w:val="single" w:sz="6" w:space="0" w:color="auto"/>
              <w:right w:val="single" w:sz="6" w:space="0" w:color="auto"/>
            </w:tcBorders>
            <w:shd w:val="clear" w:color="auto" w:fill="auto"/>
            <w:vAlign w:val="center"/>
          </w:tcPr>
          <w:p w14:paraId="2F3DD2DC" w14:textId="77777777" w:rsidR="003F2675" w:rsidRPr="00597476" w:rsidRDefault="00162F2E" w:rsidP="00677C9C">
            <w:pPr>
              <w:autoSpaceDE/>
              <w:autoSpaceDN/>
              <w:adjustRightInd/>
              <w:spacing w:after="0"/>
              <w:ind w:right="93"/>
              <w:jc w:val="right"/>
              <w:textAlignment w:val="baseline"/>
              <w:rPr>
                <w:rFonts w:eastAsia="Times New Roman" w:cs="Arial"/>
                <w:color w:val="auto"/>
                <w:sz w:val="20"/>
                <w:szCs w:val="20"/>
                <w:lang w:eastAsia="en-GB"/>
              </w:rPr>
            </w:pPr>
            <w:r>
              <w:rPr>
                <w:rFonts w:eastAsia="Times New Roman" w:cs="Arial"/>
                <w:color w:val="auto"/>
                <w:sz w:val="20"/>
                <w:szCs w:val="20"/>
                <w:lang w:eastAsia="en-GB"/>
              </w:rPr>
              <w:t>-23.85%</w:t>
            </w:r>
          </w:p>
        </w:tc>
        <w:tc>
          <w:tcPr>
            <w:tcW w:w="1371" w:type="dxa"/>
            <w:tcBorders>
              <w:top w:val="nil"/>
              <w:left w:val="nil"/>
              <w:bottom w:val="single" w:sz="6" w:space="0" w:color="auto"/>
              <w:right w:val="single" w:sz="6" w:space="0" w:color="auto"/>
            </w:tcBorders>
            <w:shd w:val="clear" w:color="auto" w:fill="D9D9D9" w:themeFill="background1" w:themeFillShade="D9"/>
            <w:vAlign w:val="center"/>
          </w:tcPr>
          <w:p w14:paraId="71CF0248" w14:textId="77777777" w:rsidR="003F2675" w:rsidRPr="00597476" w:rsidRDefault="00162F2E" w:rsidP="00677C9C">
            <w:pPr>
              <w:autoSpaceDE/>
              <w:autoSpaceDN/>
              <w:adjustRightInd/>
              <w:spacing w:after="0"/>
              <w:ind w:right="186"/>
              <w:jc w:val="right"/>
              <w:textAlignment w:val="baseline"/>
              <w:rPr>
                <w:rFonts w:eastAsia="Times New Roman" w:cs="Arial"/>
                <w:color w:val="auto"/>
                <w:sz w:val="20"/>
                <w:szCs w:val="20"/>
                <w:lang w:eastAsia="en-GB"/>
              </w:rPr>
            </w:pPr>
            <w:r>
              <w:rPr>
                <w:rFonts w:eastAsia="Times New Roman" w:cs="Arial"/>
                <w:color w:val="auto"/>
                <w:sz w:val="20"/>
                <w:szCs w:val="20"/>
                <w:lang w:eastAsia="en-GB"/>
              </w:rPr>
              <w:t>-0.413</w:t>
            </w:r>
          </w:p>
        </w:tc>
        <w:tc>
          <w:tcPr>
            <w:tcW w:w="1504" w:type="dxa"/>
            <w:tcBorders>
              <w:top w:val="nil"/>
              <w:left w:val="single" w:sz="6" w:space="0" w:color="auto"/>
              <w:bottom w:val="single" w:sz="6" w:space="0" w:color="auto"/>
              <w:right w:val="single" w:sz="6" w:space="0" w:color="auto"/>
            </w:tcBorders>
            <w:shd w:val="clear" w:color="auto" w:fill="auto"/>
            <w:vAlign w:val="center"/>
          </w:tcPr>
          <w:p w14:paraId="2D97857C" w14:textId="77777777" w:rsidR="003F2675" w:rsidRPr="00597476" w:rsidRDefault="00162F2E" w:rsidP="00677C9C">
            <w:pPr>
              <w:autoSpaceDE/>
              <w:autoSpaceDN/>
              <w:adjustRightInd/>
              <w:spacing w:after="0"/>
              <w:ind w:right="134"/>
              <w:jc w:val="right"/>
              <w:textAlignment w:val="baseline"/>
              <w:rPr>
                <w:rFonts w:eastAsia="Times New Roman" w:cs="Arial"/>
                <w:color w:val="auto"/>
                <w:sz w:val="20"/>
                <w:szCs w:val="20"/>
                <w:lang w:eastAsia="en-GB"/>
              </w:rPr>
            </w:pPr>
            <w:r>
              <w:rPr>
                <w:rFonts w:eastAsia="Times New Roman" w:cs="Arial"/>
                <w:color w:val="auto"/>
                <w:sz w:val="20"/>
                <w:szCs w:val="20"/>
                <w:lang w:eastAsia="en-GB"/>
              </w:rPr>
              <w:t>-0.625</w:t>
            </w:r>
          </w:p>
        </w:tc>
      </w:tr>
      <w:tr w:rsidR="006E5B54" w14:paraId="53D3B469" w14:textId="77777777" w:rsidTr="0CFBF26B">
        <w:trPr>
          <w:trHeight w:val="295"/>
        </w:trPr>
        <w:tc>
          <w:tcPr>
            <w:tcW w:w="1965"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014D5937" w14:textId="77777777" w:rsidR="003F2675" w:rsidRPr="00597476" w:rsidRDefault="00162F2E" w:rsidP="00677C9C">
            <w:pPr>
              <w:autoSpaceDE/>
              <w:autoSpaceDN/>
              <w:adjustRightInd/>
              <w:spacing w:after="0"/>
              <w:jc w:val="left"/>
              <w:textAlignment w:val="baseline"/>
              <w:rPr>
                <w:rFonts w:eastAsia="Times New Roman" w:cs="Arial"/>
                <w:b/>
                <w:bCs/>
                <w:color w:val="auto"/>
                <w:sz w:val="20"/>
                <w:szCs w:val="20"/>
                <w:lang w:eastAsia="en-GB"/>
              </w:rPr>
            </w:pPr>
            <w:r>
              <w:rPr>
                <w:rFonts w:eastAsia="Times New Roman" w:cs="Arial"/>
                <w:b/>
                <w:bCs/>
                <w:color w:val="auto"/>
                <w:sz w:val="20"/>
                <w:szCs w:val="20"/>
                <w:lang w:eastAsia="en-GB"/>
              </w:rPr>
              <w:t>Central Services</w:t>
            </w:r>
          </w:p>
        </w:tc>
        <w:tc>
          <w:tcPr>
            <w:tcW w:w="1114" w:type="dxa"/>
            <w:tcBorders>
              <w:top w:val="nil"/>
              <w:left w:val="single" w:sz="6" w:space="0" w:color="auto"/>
              <w:bottom w:val="single" w:sz="6" w:space="0" w:color="auto"/>
              <w:right w:val="single" w:sz="6" w:space="0" w:color="auto"/>
            </w:tcBorders>
            <w:shd w:val="clear" w:color="auto" w:fill="auto"/>
            <w:vAlign w:val="center"/>
          </w:tcPr>
          <w:p w14:paraId="0F643839" w14:textId="77777777" w:rsidR="003F2675" w:rsidRPr="00597476" w:rsidRDefault="00162F2E" w:rsidP="00677C9C">
            <w:pPr>
              <w:autoSpaceDE/>
              <w:autoSpaceDN/>
              <w:adjustRightInd/>
              <w:spacing w:after="0"/>
              <w:ind w:right="116"/>
              <w:jc w:val="right"/>
              <w:textAlignment w:val="baseline"/>
              <w:rPr>
                <w:rFonts w:eastAsia="Times New Roman" w:cs="Arial"/>
                <w:color w:val="auto"/>
                <w:sz w:val="20"/>
                <w:szCs w:val="20"/>
                <w:lang w:eastAsia="en-GB"/>
              </w:rPr>
            </w:pPr>
            <w:r>
              <w:rPr>
                <w:rFonts w:eastAsia="Times New Roman" w:cs="Arial"/>
                <w:color w:val="auto"/>
                <w:sz w:val="20"/>
                <w:szCs w:val="20"/>
                <w:lang w:eastAsia="en-GB"/>
              </w:rPr>
              <w:t>-8.683</w:t>
            </w:r>
          </w:p>
        </w:tc>
        <w:tc>
          <w:tcPr>
            <w:tcW w:w="1417" w:type="dxa"/>
            <w:tcBorders>
              <w:top w:val="nil"/>
              <w:left w:val="nil"/>
              <w:bottom w:val="single" w:sz="6" w:space="0" w:color="auto"/>
              <w:right w:val="single" w:sz="6" w:space="0" w:color="auto"/>
            </w:tcBorders>
            <w:shd w:val="clear" w:color="auto" w:fill="auto"/>
            <w:vAlign w:val="center"/>
          </w:tcPr>
          <w:p w14:paraId="12CDA0C0" w14:textId="77777777" w:rsidR="003F2675" w:rsidRPr="00597476" w:rsidRDefault="00162F2E" w:rsidP="00677C9C">
            <w:pPr>
              <w:autoSpaceDE/>
              <w:autoSpaceDN/>
              <w:adjustRightInd/>
              <w:spacing w:after="0"/>
              <w:ind w:left="114" w:right="135" w:hanging="114"/>
              <w:jc w:val="right"/>
              <w:textAlignment w:val="baseline"/>
              <w:rPr>
                <w:rFonts w:eastAsia="Times New Roman" w:cs="Arial"/>
                <w:color w:val="auto"/>
                <w:sz w:val="20"/>
                <w:szCs w:val="20"/>
                <w:lang w:eastAsia="en-GB"/>
              </w:rPr>
            </w:pPr>
            <w:r w:rsidRPr="00597476">
              <w:rPr>
                <w:rFonts w:eastAsia="Times New Roman" w:cs="Arial"/>
                <w:color w:val="auto"/>
                <w:sz w:val="20"/>
                <w:szCs w:val="20"/>
                <w:lang w:eastAsia="en-GB"/>
              </w:rPr>
              <w:t>-9.441</w:t>
            </w:r>
          </w:p>
        </w:tc>
        <w:tc>
          <w:tcPr>
            <w:tcW w:w="1466" w:type="dxa"/>
            <w:tcBorders>
              <w:top w:val="nil"/>
              <w:left w:val="nil"/>
              <w:bottom w:val="single" w:sz="6" w:space="0" w:color="auto"/>
              <w:right w:val="single" w:sz="6" w:space="0" w:color="auto"/>
            </w:tcBorders>
            <w:shd w:val="clear" w:color="auto" w:fill="D9D9D9" w:themeFill="background1" w:themeFillShade="D9"/>
            <w:vAlign w:val="center"/>
          </w:tcPr>
          <w:p w14:paraId="759CB402" w14:textId="77777777" w:rsidR="003F2675" w:rsidRPr="00597476" w:rsidRDefault="00162F2E" w:rsidP="00677C9C">
            <w:pPr>
              <w:autoSpaceDE/>
              <w:autoSpaceDN/>
              <w:adjustRightInd/>
              <w:spacing w:after="0"/>
              <w:ind w:right="181"/>
              <w:jc w:val="right"/>
              <w:textAlignment w:val="baseline"/>
              <w:rPr>
                <w:rFonts w:eastAsia="Times New Roman" w:cs="Arial"/>
                <w:b/>
                <w:bCs/>
                <w:color w:val="auto"/>
                <w:sz w:val="20"/>
                <w:szCs w:val="20"/>
                <w:lang w:eastAsia="en-GB"/>
              </w:rPr>
            </w:pPr>
            <w:r w:rsidRPr="00597476">
              <w:rPr>
                <w:rFonts w:eastAsia="Times New Roman" w:cs="Arial"/>
                <w:b/>
                <w:bCs/>
                <w:color w:val="auto"/>
                <w:sz w:val="20"/>
                <w:szCs w:val="20"/>
                <w:lang w:eastAsia="en-GB"/>
              </w:rPr>
              <w:t>-0.758</w:t>
            </w:r>
          </w:p>
        </w:tc>
        <w:tc>
          <w:tcPr>
            <w:tcW w:w="1187" w:type="dxa"/>
            <w:tcBorders>
              <w:top w:val="nil"/>
              <w:left w:val="nil"/>
              <w:bottom w:val="single" w:sz="6" w:space="0" w:color="auto"/>
              <w:right w:val="single" w:sz="6" w:space="0" w:color="auto"/>
            </w:tcBorders>
            <w:shd w:val="clear" w:color="auto" w:fill="auto"/>
            <w:vAlign w:val="center"/>
          </w:tcPr>
          <w:p w14:paraId="17B2B983" w14:textId="77777777" w:rsidR="003F2675" w:rsidRPr="00597476" w:rsidRDefault="00162F2E" w:rsidP="00677C9C">
            <w:pPr>
              <w:autoSpaceDE/>
              <w:autoSpaceDN/>
              <w:adjustRightInd/>
              <w:spacing w:after="0"/>
              <w:ind w:right="93"/>
              <w:jc w:val="right"/>
              <w:textAlignment w:val="baseline"/>
              <w:rPr>
                <w:rFonts w:eastAsia="Times New Roman" w:cs="Arial"/>
                <w:color w:val="auto"/>
                <w:sz w:val="20"/>
                <w:szCs w:val="20"/>
                <w:lang w:eastAsia="en-GB"/>
              </w:rPr>
            </w:pPr>
            <w:r>
              <w:rPr>
                <w:rFonts w:eastAsia="Times New Roman" w:cs="Arial"/>
                <w:color w:val="auto"/>
                <w:sz w:val="20"/>
                <w:szCs w:val="20"/>
                <w:lang w:eastAsia="en-GB"/>
              </w:rPr>
              <w:t>8.73%</w:t>
            </w:r>
          </w:p>
        </w:tc>
        <w:tc>
          <w:tcPr>
            <w:tcW w:w="1371" w:type="dxa"/>
            <w:tcBorders>
              <w:top w:val="nil"/>
              <w:left w:val="nil"/>
              <w:bottom w:val="single" w:sz="6" w:space="0" w:color="auto"/>
              <w:right w:val="single" w:sz="6" w:space="0" w:color="auto"/>
            </w:tcBorders>
            <w:shd w:val="clear" w:color="auto" w:fill="D9D9D9" w:themeFill="background1" w:themeFillShade="D9"/>
            <w:vAlign w:val="center"/>
          </w:tcPr>
          <w:p w14:paraId="3E838D5D" w14:textId="77777777" w:rsidR="003F2675" w:rsidRPr="00597476" w:rsidRDefault="00162F2E" w:rsidP="00677C9C">
            <w:pPr>
              <w:autoSpaceDE/>
              <w:autoSpaceDN/>
              <w:adjustRightInd/>
              <w:spacing w:after="0"/>
              <w:ind w:right="186"/>
              <w:jc w:val="right"/>
              <w:textAlignment w:val="baseline"/>
              <w:rPr>
                <w:rFonts w:eastAsia="Times New Roman" w:cs="Arial"/>
                <w:color w:val="auto"/>
                <w:sz w:val="20"/>
                <w:szCs w:val="20"/>
                <w:lang w:eastAsia="en-GB"/>
              </w:rPr>
            </w:pPr>
            <w:r>
              <w:rPr>
                <w:rFonts w:eastAsia="Times New Roman" w:cs="Arial"/>
                <w:color w:val="auto"/>
                <w:sz w:val="20"/>
                <w:szCs w:val="20"/>
                <w:lang w:eastAsia="en-GB"/>
              </w:rPr>
              <w:t>-0.108</w:t>
            </w:r>
          </w:p>
        </w:tc>
        <w:tc>
          <w:tcPr>
            <w:tcW w:w="1504" w:type="dxa"/>
            <w:tcBorders>
              <w:top w:val="nil"/>
              <w:left w:val="single" w:sz="6" w:space="0" w:color="auto"/>
              <w:bottom w:val="single" w:sz="6" w:space="0" w:color="auto"/>
              <w:right w:val="single" w:sz="6" w:space="0" w:color="auto"/>
            </w:tcBorders>
            <w:shd w:val="clear" w:color="auto" w:fill="auto"/>
            <w:vAlign w:val="center"/>
          </w:tcPr>
          <w:p w14:paraId="57D2FA28" w14:textId="77777777" w:rsidR="003F2675" w:rsidRPr="00597476" w:rsidRDefault="00162F2E" w:rsidP="00677C9C">
            <w:pPr>
              <w:autoSpaceDE/>
              <w:autoSpaceDN/>
              <w:adjustRightInd/>
              <w:spacing w:after="0"/>
              <w:ind w:right="134"/>
              <w:jc w:val="right"/>
              <w:textAlignment w:val="baseline"/>
              <w:rPr>
                <w:rFonts w:eastAsia="Times New Roman" w:cs="Arial"/>
                <w:color w:val="auto"/>
                <w:sz w:val="20"/>
                <w:szCs w:val="20"/>
                <w:lang w:eastAsia="en-GB"/>
              </w:rPr>
            </w:pPr>
            <w:r>
              <w:rPr>
                <w:rFonts w:eastAsia="Times New Roman" w:cs="Arial"/>
                <w:color w:val="auto"/>
                <w:sz w:val="20"/>
                <w:szCs w:val="20"/>
                <w:lang w:eastAsia="en-GB"/>
              </w:rPr>
              <w:t>-0.650</w:t>
            </w:r>
          </w:p>
        </w:tc>
      </w:tr>
      <w:tr w:rsidR="006E5B54" w14:paraId="098F3E78" w14:textId="77777777" w:rsidTr="0CFBF26B">
        <w:trPr>
          <w:trHeight w:val="435"/>
        </w:trPr>
        <w:tc>
          <w:tcPr>
            <w:tcW w:w="1965"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7BBCFEDA" w14:textId="77777777" w:rsidR="003F2675" w:rsidRPr="00064548" w:rsidRDefault="00162F2E" w:rsidP="00677C9C">
            <w:pPr>
              <w:autoSpaceDE/>
              <w:autoSpaceDN/>
              <w:adjustRightInd/>
              <w:spacing w:after="0"/>
              <w:jc w:val="left"/>
              <w:textAlignment w:val="baseline"/>
              <w:rPr>
                <w:rFonts w:ascii="Times New Roman" w:eastAsia="Times New Roman" w:hAnsi="Times New Roman" w:cs="Times New Roman"/>
                <w:color w:val="auto"/>
                <w:lang w:eastAsia="en-GB"/>
              </w:rPr>
            </w:pPr>
            <w:r w:rsidRPr="00064548">
              <w:rPr>
                <w:rFonts w:eastAsia="Times New Roman" w:cs="Arial"/>
                <w:b/>
                <w:bCs/>
                <w:color w:val="auto"/>
                <w:sz w:val="20"/>
                <w:szCs w:val="20"/>
                <w:lang w:eastAsia="en-GB"/>
              </w:rPr>
              <w:t>Total</w:t>
            </w:r>
            <w:r w:rsidRPr="00064548">
              <w:rPr>
                <w:rFonts w:eastAsia="Times New Roman" w:cs="Arial"/>
                <w:color w:val="auto"/>
                <w:sz w:val="20"/>
                <w:szCs w:val="20"/>
                <w:lang w:eastAsia="en-GB"/>
              </w:rPr>
              <w:t> </w:t>
            </w:r>
          </w:p>
        </w:tc>
        <w:tc>
          <w:tcPr>
            <w:tcW w:w="1114"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1C89E1D1" w14:textId="77777777" w:rsidR="003F2675" w:rsidRPr="00064548" w:rsidRDefault="00162F2E" w:rsidP="00677C9C">
            <w:pPr>
              <w:autoSpaceDE/>
              <w:autoSpaceDN/>
              <w:adjustRightInd/>
              <w:spacing w:after="0"/>
              <w:jc w:val="right"/>
              <w:textAlignment w:val="baseline"/>
              <w:rPr>
                <w:rFonts w:ascii="Times New Roman" w:eastAsia="Times New Roman" w:hAnsi="Times New Roman" w:cs="Times New Roman"/>
                <w:color w:val="auto"/>
                <w:lang w:eastAsia="en-GB"/>
              </w:rPr>
            </w:pPr>
            <w:r>
              <w:rPr>
                <w:rFonts w:eastAsia="Times New Roman" w:cs="Arial"/>
                <w:b/>
                <w:bCs/>
                <w:sz w:val="20"/>
                <w:szCs w:val="20"/>
                <w:lang w:eastAsia="en-GB"/>
              </w:rPr>
              <w:t>197.696</w:t>
            </w:r>
            <w:r w:rsidRPr="00064548">
              <w:rPr>
                <w:rFonts w:eastAsia="Times New Roman" w:cs="Arial"/>
                <w:sz w:val="20"/>
                <w:szCs w:val="20"/>
                <w:lang w:eastAsia="en-GB"/>
              </w:rPr>
              <w:t> </w:t>
            </w:r>
          </w:p>
        </w:tc>
        <w:tc>
          <w:tcPr>
            <w:tcW w:w="1417" w:type="dxa"/>
            <w:tcBorders>
              <w:top w:val="nil"/>
              <w:left w:val="nil"/>
              <w:bottom w:val="single" w:sz="6" w:space="0" w:color="auto"/>
              <w:right w:val="single" w:sz="6" w:space="0" w:color="auto"/>
            </w:tcBorders>
            <w:shd w:val="clear" w:color="auto" w:fill="D9D9D9" w:themeFill="background1" w:themeFillShade="D9"/>
            <w:vAlign w:val="center"/>
          </w:tcPr>
          <w:p w14:paraId="70A8C2B3" w14:textId="77777777" w:rsidR="003F2675" w:rsidRPr="00597476" w:rsidRDefault="00162F2E" w:rsidP="00677C9C">
            <w:pPr>
              <w:autoSpaceDE/>
              <w:autoSpaceDN/>
              <w:adjustRightInd/>
              <w:spacing w:after="0"/>
              <w:ind w:left="114" w:right="135" w:hanging="114"/>
              <w:jc w:val="right"/>
              <w:textAlignment w:val="baseline"/>
              <w:rPr>
                <w:rFonts w:eastAsia="Times New Roman" w:cs="Arial"/>
                <w:b/>
                <w:bCs/>
                <w:color w:val="auto"/>
                <w:sz w:val="20"/>
                <w:szCs w:val="20"/>
                <w:lang w:eastAsia="en-GB"/>
              </w:rPr>
            </w:pPr>
            <w:r w:rsidRPr="00597476">
              <w:rPr>
                <w:rFonts w:eastAsia="Times New Roman" w:cs="Arial"/>
                <w:b/>
                <w:bCs/>
                <w:color w:val="auto"/>
                <w:sz w:val="20"/>
                <w:szCs w:val="20"/>
                <w:lang w:eastAsia="en-GB"/>
              </w:rPr>
              <w:t>191.381</w:t>
            </w:r>
          </w:p>
        </w:tc>
        <w:tc>
          <w:tcPr>
            <w:tcW w:w="1466" w:type="dxa"/>
            <w:tcBorders>
              <w:top w:val="nil"/>
              <w:left w:val="nil"/>
              <w:bottom w:val="single" w:sz="6" w:space="0" w:color="auto"/>
              <w:right w:val="single" w:sz="6" w:space="0" w:color="auto"/>
            </w:tcBorders>
            <w:shd w:val="clear" w:color="auto" w:fill="D9D9D9" w:themeFill="background1" w:themeFillShade="D9"/>
            <w:vAlign w:val="center"/>
          </w:tcPr>
          <w:p w14:paraId="15423A93" w14:textId="77777777" w:rsidR="003F2675" w:rsidRPr="00597476" w:rsidRDefault="00162F2E" w:rsidP="00677C9C">
            <w:pPr>
              <w:autoSpaceDE/>
              <w:autoSpaceDN/>
              <w:adjustRightInd/>
              <w:spacing w:after="0"/>
              <w:ind w:right="181"/>
              <w:jc w:val="right"/>
              <w:textAlignment w:val="baseline"/>
              <w:rPr>
                <w:rFonts w:eastAsia="Times New Roman" w:cs="Arial"/>
                <w:b/>
                <w:bCs/>
                <w:color w:val="auto"/>
                <w:sz w:val="20"/>
                <w:szCs w:val="20"/>
                <w:lang w:eastAsia="en-GB"/>
              </w:rPr>
            </w:pPr>
            <w:r>
              <w:rPr>
                <w:rFonts w:eastAsia="Times New Roman" w:cs="Arial"/>
                <w:b/>
                <w:bCs/>
                <w:color w:val="auto"/>
                <w:sz w:val="20"/>
                <w:szCs w:val="20"/>
                <w:lang w:eastAsia="en-GB"/>
              </w:rPr>
              <w:t>-6.315</w:t>
            </w:r>
          </w:p>
        </w:tc>
        <w:tc>
          <w:tcPr>
            <w:tcW w:w="1187" w:type="dxa"/>
            <w:tcBorders>
              <w:top w:val="nil"/>
              <w:left w:val="nil"/>
              <w:bottom w:val="single" w:sz="6" w:space="0" w:color="auto"/>
              <w:right w:val="single" w:sz="6" w:space="0" w:color="auto"/>
            </w:tcBorders>
            <w:shd w:val="clear" w:color="auto" w:fill="D9D9D9" w:themeFill="background1" w:themeFillShade="D9"/>
            <w:vAlign w:val="center"/>
          </w:tcPr>
          <w:p w14:paraId="28CDE276" w14:textId="77777777" w:rsidR="003F2675" w:rsidRPr="00597476" w:rsidRDefault="00162F2E" w:rsidP="00677C9C">
            <w:pPr>
              <w:autoSpaceDE/>
              <w:autoSpaceDN/>
              <w:adjustRightInd/>
              <w:spacing w:after="0"/>
              <w:ind w:right="93"/>
              <w:jc w:val="right"/>
              <w:textAlignment w:val="baseline"/>
              <w:rPr>
                <w:rFonts w:eastAsia="Times New Roman" w:cs="Arial"/>
                <w:b/>
                <w:bCs/>
                <w:color w:val="auto"/>
                <w:sz w:val="20"/>
                <w:szCs w:val="20"/>
                <w:lang w:eastAsia="en-GB"/>
              </w:rPr>
            </w:pPr>
            <w:r>
              <w:rPr>
                <w:rFonts w:eastAsia="Times New Roman" w:cs="Arial"/>
                <w:b/>
                <w:bCs/>
                <w:color w:val="auto"/>
                <w:sz w:val="20"/>
                <w:szCs w:val="20"/>
                <w:lang w:eastAsia="en-GB"/>
              </w:rPr>
              <w:t>-3.19%</w:t>
            </w:r>
          </w:p>
        </w:tc>
        <w:tc>
          <w:tcPr>
            <w:tcW w:w="1371" w:type="dxa"/>
            <w:tcBorders>
              <w:top w:val="nil"/>
              <w:left w:val="nil"/>
              <w:bottom w:val="single" w:sz="6" w:space="0" w:color="auto"/>
              <w:right w:val="single" w:sz="6" w:space="0" w:color="auto"/>
            </w:tcBorders>
            <w:shd w:val="clear" w:color="auto" w:fill="D9D9D9" w:themeFill="background1" w:themeFillShade="D9"/>
            <w:vAlign w:val="center"/>
          </w:tcPr>
          <w:p w14:paraId="7D758029" w14:textId="77777777" w:rsidR="003F2675" w:rsidRPr="00597476" w:rsidRDefault="00162F2E" w:rsidP="00677C9C">
            <w:pPr>
              <w:autoSpaceDE/>
              <w:autoSpaceDN/>
              <w:adjustRightInd/>
              <w:spacing w:after="0"/>
              <w:ind w:right="186"/>
              <w:jc w:val="right"/>
              <w:textAlignment w:val="baseline"/>
              <w:rPr>
                <w:rFonts w:eastAsia="Times New Roman" w:cs="Arial"/>
                <w:b/>
                <w:bCs/>
                <w:color w:val="auto"/>
                <w:sz w:val="20"/>
                <w:szCs w:val="20"/>
                <w:lang w:eastAsia="en-GB"/>
              </w:rPr>
            </w:pPr>
            <w:r>
              <w:rPr>
                <w:rFonts w:eastAsia="Times New Roman" w:cs="Arial"/>
                <w:b/>
                <w:bCs/>
                <w:color w:val="auto"/>
                <w:sz w:val="20"/>
                <w:szCs w:val="20"/>
                <w:lang w:eastAsia="en-GB"/>
              </w:rPr>
              <w:t>-0.590</w:t>
            </w:r>
          </w:p>
        </w:tc>
        <w:tc>
          <w:tcPr>
            <w:tcW w:w="1504" w:type="dxa"/>
            <w:tcBorders>
              <w:top w:val="nil"/>
              <w:left w:val="single" w:sz="6" w:space="0" w:color="auto"/>
              <w:bottom w:val="single" w:sz="6" w:space="0" w:color="auto"/>
              <w:right w:val="single" w:sz="6" w:space="0" w:color="auto"/>
            </w:tcBorders>
            <w:shd w:val="clear" w:color="auto" w:fill="D9D9D9" w:themeFill="background1" w:themeFillShade="D9"/>
            <w:vAlign w:val="center"/>
          </w:tcPr>
          <w:p w14:paraId="1FC2A70C" w14:textId="77777777" w:rsidR="003F2675" w:rsidRPr="00597476" w:rsidRDefault="00162F2E" w:rsidP="00677C9C">
            <w:pPr>
              <w:autoSpaceDE/>
              <w:autoSpaceDN/>
              <w:adjustRightInd/>
              <w:spacing w:after="0"/>
              <w:ind w:right="134"/>
              <w:jc w:val="right"/>
              <w:textAlignment w:val="baseline"/>
              <w:rPr>
                <w:rFonts w:eastAsia="Times New Roman" w:cs="Arial"/>
                <w:b/>
                <w:bCs/>
                <w:color w:val="auto"/>
                <w:sz w:val="20"/>
                <w:szCs w:val="20"/>
                <w:lang w:eastAsia="en-GB"/>
              </w:rPr>
            </w:pPr>
            <w:r>
              <w:rPr>
                <w:rFonts w:eastAsia="Times New Roman" w:cs="Arial"/>
                <w:b/>
                <w:bCs/>
                <w:color w:val="auto"/>
                <w:sz w:val="20"/>
                <w:szCs w:val="20"/>
                <w:lang w:eastAsia="en-GB"/>
              </w:rPr>
              <w:t>-5.725</w:t>
            </w:r>
          </w:p>
        </w:tc>
      </w:tr>
    </w:tbl>
    <w:p w14:paraId="575C4388" w14:textId="77777777" w:rsidR="00D10794" w:rsidRPr="005F1243" w:rsidRDefault="00D10794" w:rsidP="00A6107E">
      <w:pPr>
        <w:pStyle w:val="paragraph"/>
        <w:spacing w:before="0" w:beforeAutospacing="0" w:after="0" w:afterAutospacing="0"/>
        <w:jc w:val="both"/>
        <w:textAlignment w:val="baseline"/>
        <w:rPr>
          <w:rStyle w:val="eop"/>
          <w:rFonts w:ascii="Segoe UI" w:hAnsi="Segoe UI" w:cs="Segoe UI"/>
          <w:sz w:val="18"/>
          <w:szCs w:val="18"/>
        </w:rPr>
      </w:pPr>
    </w:p>
    <w:p w14:paraId="09978C41" w14:textId="77777777" w:rsidR="007B6955" w:rsidRPr="00C904A5" w:rsidRDefault="00162F2E" w:rsidP="00D10794">
      <w:pPr>
        <w:spacing w:after="0"/>
        <w:rPr>
          <w:rFonts w:cs="Arial"/>
          <w:b/>
          <w:iCs/>
        </w:rPr>
      </w:pPr>
      <w:r w:rsidRPr="00C904A5">
        <w:rPr>
          <w:rFonts w:cs="Arial"/>
          <w:b/>
          <w:iCs/>
        </w:rPr>
        <w:t>Physical support</w:t>
      </w:r>
      <w:r w:rsidR="00804705" w:rsidRPr="00C904A5">
        <w:rPr>
          <w:rFonts w:cs="Arial"/>
          <w:b/>
          <w:iCs/>
        </w:rPr>
        <w:t xml:space="preserve"> – underspend of £4.335m</w:t>
      </w:r>
    </w:p>
    <w:p w14:paraId="15EC56E8" w14:textId="77777777" w:rsidR="007B6955" w:rsidRDefault="007B6955" w:rsidP="00D10794">
      <w:pPr>
        <w:spacing w:after="0"/>
        <w:rPr>
          <w:rFonts w:cs="Arial"/>
          <w:highlight w:val="yellow"/>
          <w:u w:val="single"/>
        </w:rPr>
      </w:pPr>
    </w:p>
    <w:p w14:paraId="26CECC16" w14:textId="77777777" w:rsidR="0050654F" w:rsidRDefault="00162F2E" w:rsidP="00D10794">
      <w:pPr>
        <w:spacing w:after="0"/>
        <w:rPr>
          <w:rStyle w:val="eop"/>
          <w:shd w:val="clear" w:color="auto" w:fill="FFFFFF"/>
        </w:rPr>
      </w:pPr>
      <w:r>
        <w:rPr>
          <w:rStyle w:val="normaltextrun"/>
          <w:rFonts w:cs="Arial"/>
          <w:shd w:val="clear" w:color="auto" w:fill="FFFFFF"/>
        </w:rPr>
        <w:t xml:space="preserve">Residential and </w:t>
      </w:r>
      <w:r w:rsidR="00596CCD">
        <w:rPr>
          <w:rStyle w:val="normaltextrun"/>
          <w:rFonts w:cs="Arial"/>
          <w:shd w:val="clear" w:color="auto" w:fill="FFFFFF"/>
        </w:rPr>
        <w:t>N</w:t>
      </w:r>
      <w:r>
        <w:rPr>
          <w:rStyle w:val="normaltextrun"/>
          <w:rFonts w:cs="Arial"/>
          <w:shd w:val="clear" w:color="auto" w:fill="FFFFFF"/>
        </w:rPr>
        <w:t>ursing long term packages have increased this year after a redu</w:t>
      </w:r>
      <w:r w:rsidR="008C7147">
        <w:rPr>
          <w:rStyle w:val="normaltextrun"/>
          <w:rFonts w:cs="Arial"/>
          <w:shd w:val="clear" w:color="auto" w:fill="FFFFFF"/>
        </w:rPr>
        <w:t>cing during</w:t>
      </w:r>
      <w:r w:rsidR="00B532A8">
        <w:rPr>
          <w:rStyle w:val="normaltextrun"/>
          <w:rFonts w:cs="Arial"/>
          <w:shd w:val="clear" w:color="auto" w:fill="FFFFFF"/>
        </w:rPr>
        <w:t xml:space="preserve"> </w:t>
      </w:r>
      <w:r w:rsidR="0026517A">
        <w:rPr>
          <w:rStyle w:val="normaltextrun"/>
          <w:rFonts w:cs="Arial"/>
          <w:shd w:val="clear" w:color="auto" w:fill="FFFFFF"/>
        </w:rPr>
        <w:t>20</w:t>
      </w:r>
      <w:r w:rsidR="00FE257D">
        <w:rPr>
          <w:rStyle w:val="normaltextrun"/>
          <w:rFonts w:cs="Arial"/>
          <w:shd w:val="clear" w:color="auto" w:fill="FFFFFF"/>
        </w:rPr>
        <w:t>20/</w:t>
      </w:r>
      <w:r w:rsidR="0026517A">
        <w:rPr>
          <w:rStyle w:val="normaltextrun"/>
          <w:rFonts w:cs="Arial"/>
          <w:shd w:val="clear" w:color="auto" w:fill="FFFFFF"/>
        </w:rPr>
        <w:t>21 but</w:t>
      </w:r>
      <w:r>
        <w:rPr>
          <w:rStyle w:val="normaltextrun"/>
          <w:rFonts w:cs="Arial"/>
          <w:shd w:val="clear" w:color="auto" w:fill="FFFFFF"/>
        </w:rPr>
        <w:t xml:space="preserve"> still </w:t>
      </w:r>
      <w:r w:rsidR="00FE257D">
        <w:rPr>
          <w:rStyle w:val="normaltextrun"/>
          <w:rFonts w:cs="Arial"/>
          <w:shd w:val="clear" w:color="auto" w:fill="FFFFFF"/>
        </w:rPr>
        <w:t>remain</w:t>
      </w:r>
      <w:r>
        <w:rPr>
          <w:rStyle w:val="normaltextrun"/>
          <w:rFonts w:cs="Arial"/>
          <w:shd w:val="clear" w:color="auto" w:fill="FFFFFF"/>
        </w:rPr>
        <w:t xml:space="preserve"> below pre-pandemic levels. This does not tell the full picture as spend on </w:t>
      </w:r>
      <w:r w:rsidR="00D16EA5">
        <w:rPr>
          <w:rStyle w:val="normaltextrun"/>
          <w:rFonts w:cs="Arial"/>
          <w:shd w:val="clear" w:color="auto" w:fill="FFFFFF"/>
        </w:rPr>
        <w:t>D</w:t>
      </w:r>
      <w:r>
        <w:rPr>
          <w:rStyle w:val="normaltextrun"/>
          <w:rFonts w:cs="Arial"/>
          <w:shd w:val="clear" w:color="auto" w:fill="FFFFFF"/>
        </w:rPr>
        <w:t xml:space="preserve">ischarge to </w:t>
      </w:r>
      <w:r w:rsidR="00D16EA5">
        <w:rPr>
          <w:rStyle w:val="normaltextrun"/>
          <w:rFonts w:cs="Arial"/>
          <w:shd w:val="clear" w:color="auto" w:fill="FFFFFF"/>
        </w:rPr>
        <w:t>A</w:t>
      </w:r>
      <w:r>
        <w:rPr>
          <w:rStyle w:val="normaltextrun"/>
          <w:rFonts w:cs="Arial"/>
          <w:shd w:val="clear" w:color="auto" w:fill="FFFFFF"/>
        </w:rPr>
        <w:t xml:space="preserve">ssess packages to facilitate hospital discharge has continued with expenditure reaching almost £10m in total. Home </w:t>
      </w:r>
      <w:r w:rsidR="00D16EA5">
        <w:rPr>
          <w:rStyle w:val="normaltextrun"/>
          <w:rFonts w:cs="Arial"/>
          <w:shd w:val="clear" w:color="auto" w:fill="FFFFFF"/>
        </w:rPr>
        <w:t>C</w:t>
      </w:r>
      <w:r>
        <w:rPr>
          <w:rStyle w:val="normaltextrun"/>
          <w:rFonts w:cs="Arial"/>
          <w:shd w:val="clear" w:color="auto" w:fill="FFFFFF"/>
        </w:rPr>
        <w:t>are costs increased during the first part of the year before decreasing towards the end of the year</w:t>
      </w:r>
      <w:r w:rsidR="00D16EA5">
        <w:rPr>
          <w:rStyle w:val="eop"/>
          <w:shd w:val="clear" w:color="auto" w:fill="FFFFFF"/>
        </w:rPr>
        <w:t>.</w:t>
      </w:r>
    </w:p>
    <w:p w14:paraId="66783E9B" w14:textId="77777777" w:rsidR="00430431" w:rsidRDefault="00430431" w:rsidP="00D10794">
      <w:pPr>
        <w:spacing w:after="0"/>
        <w:rPr>
          <w:rStyle w:val="eop"/>
          <w:shd w:val="clear" w:color="auto" w:fill="FFFFFF"/>
        </w:rPr>
      </w:pPr>
    </w:p>
    <w:p w14:paraId="2E06BF9D" w14:textId="77777777" w:rsidR="00795FEE" w:rsidRDefault="00162F2E" w:rsidP="00D10794">
      <w:pPr>
        <w:spacing w:after="0"/>
        <w:rPr>
          <w:rStyle w:val="eop"/>
          <w:shd w:val="clear" w:color="auto" w:fill="FFFFFF"/>
        </w:rPr>
      </w:pPr>
      <w:r>
        <w:rPr>
          <w:rStyle w:val="normaltextrun"/>
          <w:rFonts w:cs="Arial"/>
          <w:shd w:val="clear" w:color="auto" w:fill="FFFFFF"/>
        </w:rPr>
        <w:lastRenderedPageBreak/>
        <w:t>S</w:t>
      </w:r>
      <w:r w:rsidR="00430431">
        <w:rPr>
          <w:rStyle w:val="normaltextrun"/>
          <w:rFonts w:cs="Arial"/>
          <w:shd w:val="clear" w:color="auto" w:fill="FFFFFF"/>
        </w:rPr>
        <w:t xml:space="preserve">ervice user income includes movements in </w:t>
      </w:r>
      <w:r>
        <w:rPr>
          <w:rStyle w:val="normaltextrun"/>
          <w:rFonts w:cs="Arial"/>
          <w:shd w:val="clear" w:color="auto" w:fill="FFFFFF"/>
        </w:rPr>
        <w:t xml:space="preserve">the </w:t>
      </w:r>
      <w:r w:rsidR="0096041B">
        <w:rPr>
          <w:rStyle w:val="normaltextrun"/>
          <w:rFonts w:cs="Arial"/>
          <w:shd w:val="clear" w:color="auto" w:fill="FFFFFF"/>
        </w:rPr>
        <w:t xml:space="preserve">Provision for </w:t>
      </w:r>
      <w:r>
        <w:rPr>
          <w:rStyle w:val="normaltextrun"/>
          <w:rFonts w:cs="Arial"/>
          <w:shd w:val="clear" w:color="auto" w:fill="FFFFFF"/>
        </w:rPr>
        <w:t>Bad Debt</w:t>
      </w:r>
      <w:r w:rsidR="0096041B">
        <w:rPr>
          <w:rStyle w:val="normaltextrun"/>
          <w:rFonts w:cs="Arial"/>
          <w:shd w:val="clear" w:color="auto" w:fill="FFFFFF"/>
        </w:rPr>
        <w:t>s</w:t>
      </w:r>
      <w:r w:rsidR="00430431">
        <w:rPr>
          <w:rStyle w:val="normaltextrun"/>
          <w:rFonts w:cs="Arial"/>
          <w:shd w:val="clear" w:color="auto" w:fill="FFFFFF"/>
        </w:rPr>
        <w:t xml:space="preserve"> and </w:t>
      </w:r>
      <w:r w:rsidR="0096041B">
        <w:rPr>
          <w:rStyle w:val="normaltextrun"/>
          <w:rFonts w:cs="Arial"/>
          <w:shd w:val="clear" w:color="auto" w:fill="FFFFFF"/>
        </w:rPr>
        <w:t>B</w:t>
      </w:r>
      <w:r w:rsidR="00430431">
        <w:rPr>
          <w:rStyle w:val="normaltextrun"/>
          <w:rFonts w:cs="Arial"/>
          <w:shd w:val="clear" w:color="auto" w:fill="FFFFFF"/>
        </w:rPr>
        <w:t xml:space="preserve">ad </w:t>
      </w:r>
      <w:r w:rsidR="0096041B">
        <w:rPr>
          <w:rStyle w:val="normaltextrun"/>
          <w:rFonts w:cs="Arial"/>
          <w:shd w:val="clear" w:color="auto" w:fill="FFFFFF"/>
        </w:rPr>
        <w:t>D</w:t>
      </w:r>
      <w:r w:rsidR="00430431">
        <w:rPr>
          <w:rStyle w:val="normaltextrun"/>
          <w:rFonts w:cs="Arial"/>
          <w:shd w:val="clear" w:color="auto" w:fill="FFFFFF"/>
        </w:rPr>
        <w:t xml:space="preserve">ebt write-offs. The </w:t>
      </w:r>
      <w:r w:rsidR="00BE25B2">
        <w:rPr>
          <w:rStyle w:val="normaltextrun"/>
          <w:rFonts w:cs="Arial"/>
          <w:shd w:val="clear" w:color="auto" w:fill="FFFFFF"/>
        </w:rPr>
        <w:t>outturn</w:t>
      </w:r>
      <w:r w:rsidR="00430431">
        <w:rPr>
          <w:rStyle w:val="normaltextrun"/>
          <w:rFonts w:cs="Arial"/>
          <w:shd w:val="clear" w:color="auto" w:fill="FFFFFF"/>
        </w:rPr>
        <w:t xml:space="preserve"> for 2021/22 has reduced by £5.441m compared with 2020/21 mainly due to a change in </w:t>
      </w:r>
      <w:r w:rsidR="00E01D1F">
        <w:rPr>
          <w:rStyle w:val="normaltextrun"/>
          <w:rFonts w:cs="Arial"/>
          <w:shd w:val="clear" w:color="auto" w:fill="FFFFFF"/>
        </w:rPr>
        <w:t>our Bad Debt Policy</w:t>
      </w:r>
      <w:r w:rsidR="00B10E2A">
        <w:rPr>
          <w:rStyle w:val="normaltextrun"/>
          <w:rFonts w:cs="Arial"/>
          <w:shd w:val="clear" w:color="auto" w:fill="FFFFFF"/>
        </w:rPr>
        <w:t>,</w:t>
      </w:r>
      <w:r w:rsidR="00430431">
        <w:rPr>
          <w:rStyle w:val="normaltextrun"/>
          <w:rFonts w:cs="Arial"/>
          <w:shd w:val="clear" w:color="auto" w:fill="FFFFFF"/>
        </w:rPr>
        <w:t xml:space="preserve"> the provision no longer includes certain categories of debt such as those with an agreed repayment </w:t>
      </w:r>
      <w:r w:rsidR="00C3537F">
        <w:rPr>
          <w:rStyle w:val="normaltextrun"/>
          <w:rFonts w:cs="Arial"/>
          <w:shd w:val="clear" w:color="auto" w:fill="FFFFFF"/>
        </w:rPr>
        <w:t xml:space="preserve">arrangement </w:t>
      </w:r>
      <w:r w:rsidR="00430431">
        <w:rPr>
          <w:rStyle w:val="normaltextrun"/>
          <w:rFonts w:cs="Arial"/>
          <w:shd w:val="clear" w:color="auto" w:fill="FFFFFF"/>
        </w:rPr>
        <w:t xml:space="preserve">or a </w:t>
      </w:r>
      <w:r w:rsidR="00C3537F">
        <w:rPr>
          <w:rStyle w:val="normaltextrun"/>
          <w:rFonts w:cs="Arial"/>
          <w:shd w:val="clear" w:color="auto" w:fill="FFFFFF"/>
        </w:rPr>
        <w:t>P</w:t>
      </w:r>
      <w:r w:rsidR="00430431">
        <w:rPr>
          <w:rStyle w:val="normaltextrun"/>
          <w:rFonts w:cs="Arial"/>
          <w:shd w:val="clear" w:color="auto" w:fill="FFFFFF"/>
        </w:rPr>
        <w:t xml:space="preserve">roperty </w:t>
      </w:r>
      <w:r w:rsidR="00C3537F">
        <w:rPr>
          <w:rStyle w:val="normaltextrun"/>
          <w:rFonts w:cs="Arial"/>
          <w:shd w:val="clear" w:color="auto" w:fill="FFFFFF"/>
        </w:rPr>
        <w:t>C</w:t>
      </w:r>
      <w:r w:rsidR="00430431">
        <w:rPr>
          <w:rStyle w:val="normaltextrun"/>
          <w:rFonts w:cs="Arial"/>
          <w:shd w:val="clear" w:color="auto" w:fill="FFFFFF"/>
        </w:rPr>
        <w:t xml:space="preserve">harge. There was an initial benefit in </w:t>
      </w:r>
      <w:r w:rsidR="00AD0B4C">
        <w:rPr>
          <w:rStyle w:val="normaltextrun"/>
          <w:rFonts w:cs="Arial"/>
          <w:shd w:val="clear" w:color="auto" w:fill="FFFFFF"/>
        </w:rPr>
        <w:t>Q1</w:t>
      </w:r>
      <w:r w:rsidR="00430431">
        <w:rPr>
          <w:rStyle w:val="normaltextrun"/>
          <w:rFonts w:cs="Arial"/>
          <w:shd w:val="clear" w:color="auto" w:fill="FFFFFF"/>
        </w:rPr>
        <w:t xml:space="preserve"> as these repayment categories were removed from the provision. The level of provision has continued to decrease during the year as more debt has been transferred to repayment plans, and particularly in </w:t>
      </w:r>
      <w:r w:rsidR="00AD0B4C">
        <w:rPr>
          <w:rStyle w:val="normaltextrun"/>
          <w:rFonts w:cs="Arial"/>
          <w:shd w:val="clear" w:color="auto" w:fill="FFFFFF"/>
        </w:rPr>
        <w:t>Q4</w:t>
      </w:r>
      <w:r w:rsidR="00430431">
        <w:rPr>
          <w:rStyle w:val="normaltextrun"/>
          <w:rFonts w:cs="Arial"/>
          <w:shd w:val="clear" w:color="auto" w:fill="FFFFFF"/>
        </w:rPr>
        <w:t xml:space="preserve"> leading to a favourable variance against Q3 forecast of around £1.2m across all services</w:t>
      </w:r>
      <w:r w:rsidR="007C5401">
        <w:rPr>
          <w:rStyle w:val="eop"/>
          <w:shd w:val="clear" w:color="auto" w:fill="FFFFFF"/>
        </w:rPr>
        <w:t>.</w:t>
      </w:r>
    </w:p>
    <w:p w14:paraId="53F1B4D0" w14:textId="77777777" w:rsidR="005B444B" w:rsidRDefault="005B444B" w:rsidP="00D10794">
      <w:pPr>
        <w:spacing w:after="0"/>
        <w:rPr>
          <w:rStyle w:val="eop"/>
          <w:shd w:val="clear" w:color="auto" w:fill="FFFFFF"/>
        </w:rPr>
      </w:pPr>
    </w:p>
    <w:p w14:paraId="7AB2740A" w14:textId="77777777" w:rsidR="00FB55B5" w:rsidRDefault="00162F2E" w:rsidP="00972551">
      <w:pPr>
        <w:autoSpaceDE/>
        <w:autoSpaceDN/>
        <w:adjustRightInd/>
        <w:spacing w:after="0"/>
        <w:textAlignment w:val="baseline"/>
        <w:rPr>
          <w:rFonts w:eastAsia="Times New Roman" w:cs="Arial"/>
          <w:color w:val="auto"/>
          <w:lang w:eastAsia="en-GB"/>
        </w:rPr>
      </w:pPr>
      <w:r w:rsidRPr="00FB55B5">
        <w:rPr>
          <w:rFonts w:eastAsia="Times New Roman" w:cs="Arial"/>
          <w:color w:val="auto"/>
          <w:lang w:eastAsia="en-GB"/>
        </w:rPr>
        <w:t xml:space="preserve">Covid-19 grants received </w:t>
      </w:r>
      <w:r w:rsidR="00A71C17">
        <w:rPr>
          <w:rFonts w:eastAsia="Times New Roman" w:cs="Arial"/>
          <w:color w:val="auto"/>
          <w:lang w:eastAsia="en-GB"/>
        </w:rPr>
        <w:t xml:space="preserve">by the council </w:t>
      </w:r>
      <w:r w:rsidR="00972551">
        <w:rPr>
          <w:rFonts w:eastAsia="Times New Roman" w:cs="Arial"/>
          <w:color w:val="auto"/>
          <w:lang w:eastAsia="en-GB"/>
        </w:rPr>
        <w:t>have been</w:t>
      </w:r>
      <w:r w:rsidRPr="00FB55B5">
        <w:rPr>
          <w:rFonts w:eastAsia="Times New Roman" w:cs="Arial"/>
          <w:color w:val="auto"/>
          <w:lang w:eastAsia="en-GB"/>
        </w:rPr>
        <w:t xml:space="preserve"> distributed to providers including LCC in house services: </w:t>
      </w:r>
    </w:p>
    <w:p w14:paraId="2B1A93BA" w14:textId="77777777" w:rsidR="005B444B" w:rsidRPr="00FB55B5" w:rsidRDefault="005B444B" w:rsidP="00FB55B5">
      <w:pPr>
        <w:autoSpaceDE/>
        <w:autoSpaceDN/>
        <w:adjustRightInd/>
        <w:spacing w:after="0"/>
        <w:jc w:val="left"/>
        <w:textAlignment w:val="baseline"/>
        <w:rPr>
          <w:rFonts w:ascii="Segoe UI" w:eastAsia="Times New Roman" w:hAnsi="Segoe UI" w:cs="Segoe UI"/>
          <w:color w:val="auto"/>
          <w:sz w:val="18"/>
          <w:szCs w:val="18"/>
          <w:lang w:eastAsia="en-GB"/>
        </w:rPr>
      </w:pPr>
    </w:p>
    <w:p w14:paraId="35A21638" w14:textId="77777777" w:rsidR="00FB55B5" w:rsidRPr="00FB55B5" w:rsidRDefault="00162F2E" w:rsidP="0025456F">
      <w:pPr>
        <w:numPr>
          <w:ilvl w:val="0"/>
          <w:numId w:val="40"/>
        </w:numPr>
        <w:autoSpaceDE/>
        <w:autoSpaceDN/>
        <w:adjustRightInd/>
        <w:spacing w:after="0"/>
        <w:ind w:left="1080" w:firstLine="0"/>
        <w:textAlignment w:val="baseline"/>
        <w:rPr>
          <w:rFonts w:eastAsia="Times New Roman" w:cs="Arial"/>
          <w:lang w:eastAsia="en-GB"/>
        </w:rPr>
      </w:pPr>
      <w:r w:rsidRPr="00FB55B5">
        <w:rPr>
          <w:rFonts w:eastAsia="Times New Roman" w:cs="Arial"/>
          <w:lang w:eastAsia="en-GB"/>
        </w:rPr>
        <w:t>Infection Control and Testing Fund - £26.250m  </w:t>
      </w:r>
    </w:p>
    <w:p w14:paraId="263B3F68" w14:textId="77777777" w:rsidR="00FB55B5" w:rsidRPr="00FB55B5" w:rsidRDefault="00162F2E" w:rsidP="0025456F">
      <w:pPr>
        <w:numPr>
          <w:ilvl w:val="0"/>
          <w:numId w:val="41"/>
        </w:numPr>
        <w:autoSpaceDE/>
        <w:autoSpaceDN/>
        <w:adjustRightInd/>
        <w:spacing w:after="0"/>
        <w:ind w:left="1080" w:firstLine="0"/>
        <w:textAlignment w:val="baseline"/>
        <w:rPr>
          <w:rFonts w:eastAsia="Times New Roman" w:cs="Arial"/>
          <w:lang w:eastAsia="en-GB"/>
        </w:rPr>
      </w:pPr>
      <w:r w:rsidRPr="00FB55B5">
        <w:rPr>
          <w:rFonts w:eastAsia="Times New Roman" w:cs="Arial"/>
          <w:lang w:eastAsia="en-GB"/>
        </w:rPr>
        <w:t>Workforce Recruitment and Retention Fund - £10.634m  </w:t>
      </w:r>
    </w:p>
    <w:p w14:paraId="49FC432F" w14:textId="77777777" w:rsidR="00FB55B5" w:rsidRPr="00FB55B5" w:rsidRDefault="00162F2E" w:rsidP="0025456F">
      <w:pPr>
        <w:numPr>
          <w:ilvl w:val="0"/>
          <w:numId w:val="41"/>
        </w:numPr>
        <w:autoSpaceDE/>
        <w:autoSpaceDN/>
        <w:adjustRightInd/>
        <w:spacing w:after="0"/>
        <w:ind w:left="1080" w:firstLine="0"/>
        <w:textAlignment w:val="baseline"/>
        <w:rPr>
          <w:rFonts w:eastAsia="Times New Roman" w:cs="Arial"/>
          <w:lang w:eastAsia="en-GB"/>
        </w:rPr>
      </w:pPr>
      <w:r w:rsidRPr="00FB55B5">
        <w:rPr>
          <w:rFonts w:eastAsia="Times New Roman" w:cs="Arial"/>
          <w:lang w:eastAsia="en-GB"/>
        </w:rPr>
        <w:t>Omicron Support Fund – £1.379m   </w:t>
      </w:r>
    </w:p>
    <w:p w14:paraId="38E8993D" w14:textId="35B7188B" w:rsidR="00FB55B5" w:rsidRPr="00FB55B5" w:rsidRDefault="00162F2E" w:rsidP="00642D26">
      <w:pPr>
        <w:autoSpaceDE/>
        <w:autoSpaceDN/>
        <w:adjustRightInd/>
        <w:spacing w:after="0"/>
        <w:jc w:val="left"/>
        <w:textAlignment w:val="baseline"/>
        <w:rPr>
          <w:rFonts w:ascii="Segoe UI" w:eastAsia="Times New Roman" w:hAnsi="Segoe UI" w:cs="Segoe UI"/>
          <w:color w:val="auto"/>
          <w:sz w:val="18"/>
          <w:szCs w:val="18"/>
          <w:lang w:eastAsia="en-GB"/>
        </w:rPr>
      </w:pPr>
      <w:r w:rsidRPr="00FB55B5">
        <w:rPr>
          <w:rFonts w:eastAsia="Times New Roman" w:cs="Arial"/>
          <w:color w:val="auto"/>
          <w:lang w:eastAsia="en-GB"/>
        </w:rPr>
        <w:t> </w:t>
      </w:r>
    </w:p>
    <w:p w14:paraId="4E4B8703" w14:textId="77777777" w:rsidR="00FB55B5" w:rsidRPr="00A822DC" w:rsidRDefault="00162F2E" w:rsidP="00FB55B5">
      <w:pPr>
        <w:autoSpaceDE/>
        <w:autoSpaceDN/>
        <w:adjustRightInd/>
        <w:spacing w:after="0"/>
        <w:jc w:val="left"/>
        <w:textAlignment w:val="baseline"/>
        <w:rPr>
          <w:rFonts w:ascii="Segoe UI" w:eastAsia="Times New Roman" w:hAnsi="Segoe UI" w:cs="Segoe UI"/>
          <w:color w:val="auto"/>
          <w:sz w:val="18"/>
          <w:szCs w:val="18"/>
          <w:lang w:eastAsia="en-GB"/>
        </w:rPr>
      </w:pPr>
      <w:r w:rsidRPr="00B94E54">
        <w:rPr>
          <w:rFonts w:eastAsia="Times New Roman" w:cs="Arial"/>
          <w:b/>
          <w:bCs/>
          <w:color w:val="auto"/>
          <w:lang w:eastAsia="en-GB"/>
        </w:rPr>
        <w:t xml:space="preserve">Residential and Nursing Care - Underspend £5.332m </w:t>
      </w:r>
    </w:p>
    <w:p w14:paraId="42874D5D" w14:textId="77777777" w:rsidR="00FB55B5" w:rsidRPr="00A822DC" w:rsidRDefault="00162F2E" w:rsidP="00FB55B5">
      <w:pPr>
        <w:autoSpaceDE/>
        <w:autoSpaceDN/>
        <w:adjustRightInd/>
        <w:spacing w:after="0"/>
        <w:jc w:val="left"/>
        <w:textAlignment w:val="baseline"/>
        <w:rPr>
          <w:rFonts w:ascii="Segoe UI" w:eastAsia="Times New Roman" w:hAnsi="Segoe UI" w:cs="Segoe UI"/>
          <w:color w:val="auto"/>
          <w:sz w:val="18"/>
          <w:szCs w:val="18"/>
          <w:lang w:eastAsia="en-GB"/>
        </w:rPr>
      </w:pPr>
      <w:r w:rsidRPr="00A822DC">
        <w:rPr>
          <w:rFonts w:eastAsia="Times New Roman" w:cs="Arial"/>
          <w:color w:val="FF0000"/>
          <w:lang w:eastAsia="en-GB"/>
        </w:rPr>
        <w:t> </w:t>
      </w:r>
    </w:p>
    <w:tbl>
      <w:tblPr>
        <w:tblW w:w="0" w:type="dxa"/>
        <w:tblInd w:w="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3390"/>
      </w:tblGrid>
      <w:tr w:rsidR="006E5B54" w14:paraId="2FA5B6A9" w14:textId="77777777" w:rsidTr="00B84C4A">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BAFC95E" w14:textId="77777777" w:rsidR="00FB55B5" w:rsidRPr="00A822DC" w:rsidRDefault="00162F2E" w:rsidP="00FB55B5">
            <w:pPr>
              <w:autoSpaceDE/>
              <w:autoSpaceDN/>
              <w:adjustRightInd/>
              <w:spacing w:after="0"/>
              <w:jc w:val="left"/>
              <w:textAlignment w:val="baseline"/>
              <w:rPr>
                <w:rFonts w:ascii="Times New Roman" w:eastAsia="Times New Roman" w:hAnsi="Times New Roman" w:cs="Times New Roman"/>
                <w:color w:val="auto"/>
                <w:lang w:eastAsia="en-GB"/>
              </w:rPr>
            </w:pPr>
            <w:r w:rsidRPr="00B94E54">
              <w:rPr>
                <w:rFonts w:eastAsia="Times New Roman" w:cs="Arial"/>
                <w:b/>
                <w:bCs/>
                <w:color w:val="auto"/>
                <w:lang w:eastAsia="en-GB"/>
              </w:rPr>
              <w:t>Residential Care</w:t>
            </w:r>
            <w:r w:rsidRPr="00A822DC">
              <w:rPr>
                <w:rFonts w:eastAsia="Times New Roman" w:cs="Arial"/>
                <w:color w:val="auto"/>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CCFA29" w14:textId="77777777" w:rsidR="00FB55B5" w:rsidRPr="00A822DC" w:rsidRDefault="00162F2E" w:rsidP="00B84C4A">
            <w:pPr>
              <w:autoSpaceDE/>
              <w:autoSpaceDN/>
              <w:adjustRightInd/>
              <w:spacing w:after="0"/>
              <w:jc w:val="right"/>
              <w:textAlignment w:val="baseline"/>
              <w:rPr>
                <w:rFonts w:ascii="Times New Roman" w:eastAsia="Times New Roman" w:hAnsi="Times New Roman" w:cs="Times New Roman"/>
                <w:color w:val="auto"/>
                <w:lang w:eastAsia="en-GB"/>
              </w:rPr>
            </w:pPr>
            <w:r w:rsidRPr="00B94E54">
              <w:rPr>
                <w:rFonts w:eastAsia="Times New Roman" w:cs="Arial"/>
                <w:b/>
                <w:bCs/>
                <w:color w:val="auto"/>
                <w:lang w:eastAsia="en-GB"/>
              </w:rPr>
              <w:t>£1.203m</w:t>
            </w:r>
            <w:r w:rsidRPr="00A822DC">
              <w:rPr>
                <w:rFonts w:eastAsia="Times New Roman" w:cs="Arial"/>
                <w:color w:val="auto"/>
                <w:lang w:eastAsia="en-GB"/>
              </w:rPr>
              <w:t> </w:t>
            </w:r>
          </w:p>
        </w:tc>
      </w:tr>
      <w:tr w:rsidR="006E5B54" w14:paraId="3226A102" w14:textId="77777777" w:rsidTr="00B84C4A">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35D3AFB" w14:textId="77777777" w:rsidR="00FB55B5" w:rsidRPr="00A822DC" w:rsidRDefault="00162F2E" w:rsidP="00FB55B5">
            <w:pPr>
              <w:autoSpaceDE/>
              <w:autoSpaceDN/>
              <w:adjustRightInd/>
              <w:spacing w:after="0"/>
              <w:jc w:val="left"/>
              <w:textAlignment w:val="baseline"/>
              <w:rPr>
                <w:rFonts w:ascii="Times New Roman" w:eastAsia="Times New Roman" w:hAnsi="Times New Roman" w:cs="Times New Roman"/>
                <w:color w:val="auto"/>
                <w:lang w:eastAsia="en-GB"/>
              </w:rPr>
            </w:pPr>
            <w:r w:rsidRPr="00B94E54">
              <w:rPr>
                <w:rFonts w:eastAsia="Times New Roman" w:cs="Arial"/>
                <w:b/>
                <w:bCs/>
                <w:color w:val="auto"/>
                <w:lang w:eastAsia="en-GB"/>
              </w:rPr>
              <w:t>Nursing Care </w:t>
            </w:r>
            <w:r w:rsidRPr="00A822DC">
              <w:rPr>
                <w:rFonts w:eastAsia="Times New Roman" w:cs="Arial"/>
                <w:color w:val="auto"/>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AC6189" w14:textId="77777777" w:rsidR="00FB55B5" w:rsidRPr="00A822DC" w:rsidRDefault="00162F2E" w:rsidP="00B84C4A">
            <w:pPr>
              <w:autoSpaceDE/>
              <w:autoSpaceDN/>
              <w:adjustRightInd/>
              <w:spacing w:after="0"/>
              <w:jc w:val="right"/>
              <w:textAlignment w:val="baseline"/>
              <w:rPr>
                <w:rFonts w:ascii="Times New Roman" w:eastAsia="Times New Roman" w:hAnsi="Times New Roman" w:cs="Times New Roman"/>
                <w:color w:val="auto"/>
                <w:lang w:eastAsia="en-GB"/>
              </w:rPr>
            </w:pPr>
            <w:r w:rsidRPr="00B94E54">
              <w:rPr>
                <w:rFonts w:eastAsia="Times New Roman" w:cs="Arial"/>
                <w:b/>
                <w:bCs/>
                <w:color w:val="auto"/>
                <w:lang w:eastAsia="en-GB"/>
              </w:rPr>
              <w:t>£4.129m</w:t>
            </w:r>
            <w:r w:rsidRPr="00A822DC">
              <w:rPr>
                <w:rFonts w:eastAsia="Times New Roman" w:cs="Arial"/>
                <w:color w:val="auto"/>
                <w:lang w:eastAsia="en-GB"/>
              </w:rPr>
              <w:t> </w:t>
            </w:r>
          </w:p>
        </w:tc>
      </w:tr>
      <w:tr w:rsidR="006E5B54" w14:paraId="70F63B22" w14:textId="77777777" w:rsidTr="00B84C4A">
        <w:tc>
          <w:tcPr>
            <w:tcW w:w="2970" w:type="dxa"/>
            <w:tcBorders>
              <w:top w:val="single" w:sz="6" w:space="0" w:color="auto"/>
              <w:left w:val="single" w:sz="6" w:space="0" w:color="auto"/>
              <w:bottom w:val="single" w:sz="6" w:space="0" w:color="auto"/>
              <w:right w:val="single" w:sz="6" w:space="0" w:color="auto"/>
            </w:tcBorders>
            <w:shd w:val="clear" w:color="auto" w:fill="D9D9D9"/>
            <w:hideMark/>
          </w:tcPr>
          <w:p w14:paraId="0EFB9435" w14:textId="77777777" w:rsidR="00FB55B5" w:rsidRPr="00A822DC" w:rsidRDefault="00162F2E" w:rsidP="00FB55B5">
            <w:pPr>
              <w:autoSpaceDE/>
              <w:autoSpaceDN/>
              <w:adjustRightInd/>
              <w:spacing w:after="0"/>
              <w:jc w:val="left"/>
              <w:textAlignment w:val="baseline"/>
              <w:rPr>
                <w:rFonts w:ascii="Times New Roman" w:eastAsia="Times New Roman" w:hAnsi="Times New Roman" w:cs="Times New Roman"/>
                <w:color w:val="auto"/>
                <w:lang w:eastAsia="en-GB"/>
              </w:rPr>
            </w:pPr>
            <w:r w:rsidRPr="00B94E54">
              <w:rPr>
                <w:rFonts w:eastAsia="Times New Roman" w:cs="Arial"/>
                <w:b/>
                <w:bCs/>
                <w:color w:val="auto"/>
                <w:lang w:eastAsia="en-GB"/>
              </w:rPr>
              <w:t>TOTAL</w:t>
            </w:r>
            <w:r w:rsidRPr="00A822DC">
              <w:rPr>
                <w:rFonts w:eastAsia="Times New Roman" w:cs="Arial"/>
                <w:color w:val="auto"/>
                <w:lang w:eastAsia="en-GB"/>
              </w:rPr>
              <w:t> </w:t>
            </w:r>
          </w:p>
        </w:tc>
        <w:tc>
          <w:tcPr>
            <w:tcW w:w="339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4717DDC" w14:textId="77777777" w:rsidR="00FB55B5" w:rsidRPr="00A822DC" w:rsidRDefault="00162F2E" w:rsidP="00B84C4A">
            <w:pPr>
              <w:autoSpaceDE/>
              <w:autoSpaceDN/>
              <w:adjustRightInd/>
              <w:spacing w:after="0"/>
              <w:jc w:val="right"/>
              <w:textAlignment w:val="baseline"/>
              <w:rPr>
                <w:rFonts w:ascii="Times New Roman" w:eastAsia="Times New Roman" w:hAnsi="Times New Roman" w:cs="Times New Roman"/>
                <w:color w:val="auto"/>
                <w:lang w:eastAsia="en-GB"/>
              </w:rPr>
            </w:pPr>
            <w:r w:rsidRPr="00B94E54">
              <w:rPr>
                <w:rFonts w:eastAsia="Times New Roman" w:cs="Arial"/>
                <w:b/>
                <w:bCs/>
                <w:color w:val="auto"/>
                <w:lang w:eastAsia="en-GB"/>
              </w:rPr>
              <w:t>£5.332m</w:t>
            </w:r>
            <w:r w:rsidRPr="00A822DC">
              <w:rPr>
                <w:rFonts w:eastAsia="Times New Roman" w:cs="Arial"/>
                <w:color w:val="auto"/>
                <w:lang w:eastAsia="en-GB"/>
              </w:rPr>
              <w:t> </w:t>
            </w:r>
          </w:p>
        </w:tc>
      </w:tr>
    </w:tbl>
    <w:p w14:paraId="31477BDE" w14:textId="77777777" w:rsidR="00FB55B5" w:rsidRPr="00FB55B5" w:rsidRDefault="00162F2E" w:rsidP="00FB55B5">
      <w:pPr>
        <w:autoSpaceDE/>
        <w:autoSpaceDN/>
        <w:adjustRightInd/>
        <w:spacing w:after="0"/>
        <w:jc w:val="left"/>
        <w:textAlignment w:val="baseline"/>
        <w:rPr>
          <w:rFonts w:ascii="Segoe UI" w:eastAsia="Times New Roman" w:hAnsi="Segoe UI" w:cs="Segoe UI"/>
          <w:color w:val="auto"/>
          <w:sz w:val="18"/>
          <w:szCs w:val="18"/>
          <w:lang w:eastAsia="en-GB"/>
        </w:rPr>
      </w:pPr>
      <w:r w:rsidRPr="00FB55B5">
        <w:rPr>
          <w:rFonts w:eastAsia="Times New Roman" w:cs="Arial"/>
          <w:color w:val="auto"/>
          <w:lang w:eastAsia="en-GB"/>
        </w:rPr>
        <w:t> </w:t>
      </w:r>
    </w:p>
    <w:p w14:paraId="1E67B883" w14:textId="77777777" w:rsidR="00FB55B5" w:rsidRPr="00FB55B5" w:rsidRDefault="00162F2E" w:rsidP="00FB55B5">
      <w:pPr>
        <w:autoSpaceDE/>
        <w:autoSpaceDN/>
        <w:adjustRightInd/>
        <w:spacing w:after="0"/>
        <w:jc w:val="left"/>
        <w:textAlignment w:val="baseline"/>
        <w:rPr>
          <w:rFonts w:ascii="Segoe UI" w:eastAsia="Times New Roman" w:hAnsi="Segoe UI" w:cs="Segoe UI"/>
          <w:color w:val="auto"/>
          <w:sz w:val="18"/>
          <w:szCs w:val="18"/>
          <w:lang w:eastAsia="en-GB"/>
        </w:rPr>
      </w:pPr>
      <w:r w:rsidRPr="00FB55B5">
        <w:rPr>
          <w:rFonts w:eastAsia="Times New Roman" w:cs="Arial"/>
          <w:color w:val="FF0000"/>
          <w:lang w:eastAsia="en-GB"/>
        </w:rPr>
        <w:t> </w:t>
      </w:r>
    </w:p>
    <w:p w14:paraId="0C1E2A4C" w14:textId="4C355267" w:rsidR="005225AA" w:rsidRDefault="00162F2E" w:rsidP="00676A3E">
      <w:pPr>
        <w:autoSpaceDE/>
        <w:autoSpaceDN/>
        <w:adjustRightInd/>
        <w:spacing w:after="0"/>
        <w:textAlignment w:val="baseline"/>
        <w:rPr>
          <w:rFonts w:eastAsia="Times New Roman" w:cs="Arial"/>
          <w:color w:val="auto"/>
          <w:lang w:eastAsia="en-GB"/>
        </w:rPr>
      </w:pPr>
      <w:r w:rsidRPr="00FB55B5">
        <w:rPr>
          <w:rFonts w:eastAsia="Times New Roman" w:cs="Arial"/>
          <w:color w:val="auto"/>
          <w:lang w:eastAsia="en-GB"/>
        </w:rPr>
        <w:t xml:space="preserve">The outturn for Residential Care is an underspend of £1.203m (Q3 forecast underspend £1.292m). The main variances are </w:t>
      </w:r>
      <w:r w:rsidR="003F133B">
        <w:rPr>
          <w:rFonts w:eastAsia="Times New Roman" w:cs="Arial"/>
          <w:color w:val="auto"/>
          <w:lang w:eastAsia="en-GB"/>
        </w:rPr>
        <w:t>as below:</w:t>
      </w:r>
      <w:r w:rsidR="00676A3E">
        <w:rPr>
          <w:rFonts w:eastAsia="Times New Roman" w:cs="Arial"/>
          <w:color w:val="auto"/>
          <w:lang w:eastAsia="en-GB"/>
        </w:rPr>
        <w:t xml:space="preserve"> </w:t>
      </w:r>
    </w:p>
    <w:p w14:paraId="34A72551" w14:textId="77777777" w:rsidR="00642D26" w:rsidRDefault="00642D26" w:rsidP="00676A3E">
      <w:pPr>
        <w:autoSpaceDE/>
        <w:autoSpaceDN/>
        <w:adjustRightInd/>
        <w:spacing w:after="0"/>
        <w:textAlignment w:val="baseline"/>
        <w:rPr>
          <w:rFonts w:eastAsia="Times New Roman" w:cs="Arial"/>
          <w:color w:val="auto"/>
          <w:lang w:eastAsia="en-GB"/>
        </w:rPr>
      </w:pPr>
    </w:p>
    <w:p w14:paraId="7C495BA1" w14:textId="77777777" w:rsidR="00FB55B5" w:rsidRPr="0025371B" w:rsidRDefault="00162F2E" w:rsidP="0025456F">
      <w:pPr>
        <w:pStyle w:val="ListParagraph"/>
        <w:numPr>
          <w:ilvl w:val="0"/>
          <w:numId w:val="42"/>
        </w:numPr>
        <w:autoSpaceDE/>
        <w:autoSpaceDN/>
        <w:adjustRightInd/>
        <w:spacing w:after="0"/>
        <w:textAlignment w:val="baseline"/>
        <w:rPr>
          <w:rFonts w:eastAsia="Times New Roman" w:cs="Arial"/>
          <w:lang w:eastAsia="en-GB"/>
        </w:rPr>
      </w:pPr>
      <w:r>
        <w:rPr>
          <w:rFonts w:eastAsia="Times New Roman" w:cs="Arial"/>
          <w:color w:val="auto"/>
          <w:lang w:eastAsia="en-GB"/>
        </w:rPr>
        <w:t>T</w:t>
      </w:r>
      <w:r w:rsidRPr="0025371B">
        <w:rPr>
          <w:rFonts w:eastAsia="Times New Roman" w:cs="Arial"/>
          <w:color w:val="auto"/>
          <w:lang w:eastAsia="en-GB"/>
        </w:rPr>
        <w:t xml:space="preserve">here are budget pressures brought forward from previous years due to delayed savings delivery. These pressures have been relieved to some extent by the reduced number of long-term placements which has continued from </w:t>
      </w:r>
      <w:r w:rsidR="003F133B">
        <w:rPr>
          <w:rFonts w:eastAsia="Times New Roman" w:cs="Arial"/>
          <w:color w:val="auto"/>
          <w:lang w:eastAsia="en-GB"/>
        </w:rPr>
        <w:t>20</w:t>
      </w:r>
      <w:r w:rsidRPr="0025371B">
        <w:rPr>
          <w:rFonts w:eastAsia="Times New Roman" w:cs="Arial"/>
          <w:color w:val="auto"/>
          <w:lang w:eastAsia="en-GB"/>
        </w:rPr>
        <w:t>20</w:t>
      </w:r>
      <w:r w:rsidR="003F133B">
        <w:rPr>
          <w:rFonts w:eastAsia="Times New Roman" w:cs="Arial"/>
          <w:color w:val="auto"/>
          <w:lang w:eastAsia="en-GB"/>
        </w:rPr>
        <w:t>/</w:t>
      </w:r>
      <w:r w:rsidRPr="0025371B">
        <w:rPr>
          <w:rFonts w:eastAsia="Times New Roman" w:cs="Arial"/>
          <w:color w:val="auto"/>
          <w:lang w:eastAsia="en-GB"/>
        </w:rPr>
        <w:t xml:space="preserve">21. </w:t>
      </w:r>
      <w:r w:rsidR="00274C53">
        <w:rPr>
          <w:rFonts w:eastAsia="Times New Roman" w:cs="Arial"/>
          <w:color w:val="auto"/>
          <w:lang w:eastAsia="en-GB"/>
        </w:rPr>
        <w:t>E</w:t>
      </w:r>
      <w:r w:rsidRPr="0025371B">
        <w:rPr>
          <w:rFonts w:eastAsia="Times New Roman" w:cs="Arial"/>
          <w:color w:val="auto"/>
          <w:lang w:eastAsia="en-GB"/>
        </w:rPr>
        <w:t xml:space="preserve">xpenditure is higher than budgeted overall </w:t>
      </w:r>
      <w:r w:rsidR="003F133B">
        <w:rPr>
          <w:rFonts w:eastAsia="Times New Roman" w:cs="Arial"/>
          <w:color w:val="auto"/>
          <w:lang w:eastAsia="en-GB"/>
        </w:rPr>
        <w:t>how</w:t>
      </w:r>
      <w:r w:rsidR="00274C53">
        <w:rPr>
          <w:rFonts w:eastAsia="Times New Roman" w:cs="Arial"/>
          <w:color w:val="auto"/>
          <w:lang w:eastAsia="en-GB"/>
        </w:rPr>
        <w:t>ever,</w:t>
      </w:r>
      <w:r w:rsidRPr="0025371B">
        <w:rPr>
          <w:rFonts w:eastAsia="Times New Roman" w:cs="Arial"/>
          <w:color w:val="auto"/>
          <w:lang w:eastAsia="en-GB"/>
        </w:rPr>
        <w:t xml:space="preserve"> as the </w:t>
      </w:r>
      <w:r w:rsidR="00BE25B2">
        <w:rPr>
          <w:rFonts w:eastAsia="Times New Roman" w:cs="Arial"/>
          <w:color w:val="auto"/>
          <w:lang w:eastAsia="en-GB"/>
        </w:rPr>
        <w:t>outturn</w:t>
      </w:r>
      <w:r w:rsidRPr="0025371B">
        <w:rPr>
          <w:rFonts w:eastAsia="Times New Roman" w:cs="Arial"/>
          <w:color w:val="auto"/>
          <w:lang w:eastAsia="en-GB"/>
        </w:rPr>
        <w:t xml:space="preserve"> includes expenditure of £6.777m in relation to Discharge to Assess </w:t>
      </w:r>
      <w:r w:rsidR="00674FF6">
        <w:rPr>
          <w:rFonts w:eastAsia="Times New Roman" w:cs="Arial"/>
          <w:color w:val="auto"/>
          <w:lang w:eastAsia="en-GB"/>
        </w:rPr>
        <w:t xml:space="preserve">(D2A) </w:t>
      </w:r>
      <w:r w:rsidRPr="0025371B">
        <w:rPr>
          <w:rFonts w:eastAsia="Times New Roman" w:cs="Arial"/>
          <w:color w:val="auto"/>
          <w:lang w:eastAsia="en-GB"/>
        </w:rPr>
        <w:t>packages with corresponding income of £1.956m</w:t>
      </w:r>
      <w:r w:rsidR="00274C53">
        <w:rPr>
          <w:rFonts w:eastAsia="Times New Roman" w:cs="Arial"/>
          <w:color w:val="auto"/>
          <w:lang w:eastAsia="en-GB"/>
        </w:rPr>
        <w:t>.</w:t>
      </w:r>
    </w:p>
    <w:p w14:paraId="254D2E45" w14:textId="77777777" w:rsidR="00FB55B5" w:rsidRPr="00FB55B5" w:rsidRDefault="00162F2E" w:rsidP="001F53BA">
      <w:pPr>
        <w:pStyle w:val="ListParagraph"/>
        <w:numPr>
          <w:ilvl w:val="0"/>
          <w:numId w:val="42"/>
        </w:numPr>
        <w:autoSpaceDE/>
        <w:autoSpaceDN/>
        <w:adjustRightInd/>
        <w:spacing w:after="0"/>
        <w:ind w:left="709" w:hanging="283"/>
        <w:textAlignment w:val="baseline"/>
        <w:rPr>
          <w:rFonts w:ascii="Segoe UI" w:eastAsia="Times New Roman" w:hAnsi="Segoe UI" w:cs="Segoe UI"/>
          <w:color w:val="auto"/>
          <w:sz w:val="18"/>
          <w:szCs w:val="18"/>
          <w:lang w:eastAsia="en-GB"/>
        </w:rPr>
      </w:pPr>
      <w:r w:rsidRPr="005205F4">
        <w:rPr>
          <w:rFonts w:eastAsia="Times New Roman" w:cs="Arial"/>
          <w:color w:val="auto"/>
          <w:lang w:eastAsia="en-GB"/>
        </w:rPr>
        <w:t xml:space="preserve">The </w:t>
      </w:r>
      <w:r w:rsidRPr="00DD5552">
        <w:rPr>
          <w:rFonts w:eastAsia="Times New Roman" w:cs="Arial"/>
          <w:color w:val="auto"/>
          <w:lang w:eastAsia="en-GB"/>
        </w:rPr>
        <w:t>outturn</w:t>
      </w:r>
      <w:r w:rsidRPr="005205F4">
        <w:rPr>
          <w:rFonts w:eastAsia="Times New Roman" w:cs="Arial"/>
          <w:color w:val="auto"/>
          <w:lang w:eastAsia="en-GB"/>
        </w:rPr>
        <w:t xml:space="preserve"> for service user income is significantly higher than </w:t>
      </w:r>
      <w:r w:rsidRPr="00DD5552">
        <w:rPr>
          <w:rFonts w:eastAsia="Times New Roman" w:cs="Arial"/>
          <w:color w:val="auto"/>
          <w:lang w:eastAsia="en-GB"/>
        </w:rPr>
        <w:t>budget</w:t>
      </w:r>
      <w:r w:rsidR="00DD5552" w:rsidRPr="00DD5552">
        <w:rPr>
          <w:rFonts w:eastAsia="Times New Roman" w:cs="Arial"/>
          <w:color w:val="auto"/>
          <w:lang w:eastAsia="en-GB"/>
        </w:rPr>
        <w:t>ed</w:t>
      </w:r>
      <w:r w:rsidR="005205F4">
        <w:rPr>
          <w:rFonts w:eastAsia="Times New Roman" w:cs="Arial"/>
          <w:color w:val="auto"/>
          <w:lang w:eastAsia="en-GB"/>
        </w:rPr>
        <w:t xml:space="preserve"> and</w:t>
      </w:r>
      <w:r w:rsidR="00DD5552">
        <w:rPr>
          <w:rFonts w:eastAsia="Times New Roman" w:cs="Arial"/>
          <w:color w:val="auto"/>
          <w:lang w:eastAsia="en-GB"/>
        </w:rPr>
        <w:t xml:space="preserve"> </w:t>
      </w:r>
      <w:r w:rsidRPr="00FB55B5">
        <w:rPr>
          <w:rFonts w:eastAsia="Times New Roman" w:cs="Arial"/>
          <w:color w:val="auto"/>
          <w:lang w:eastAsia="en-GB"/>
        </w:rPr>
        <w:t>includes a one-off benefit of c£1.8m due to a change in bad debt policy in Q1. There have been further reductions during the year, and particularly in Q4, as a result of repayment plans being agreed</w:t>
      </w:r>
      <w:r w:rsidR="0025371B">
        <w:rPr>
          <w:rFonts w:eastAsia="Times New Roman" w:cs="Arial"/>
          <w:color w:val="auto"/>
          <w:lang w:eastAsia="en-GB"/>
        </w:rPr>
        <w:t>.</w:t>
      </w:r>
      <w:r w:rsidRPr="00FB55B5">
        <w:rPr>
          <w:rFonts w:eastAsia="Times New Roman" w:cs="Arial"/>
          <w:color w:val="auto"/>
          <w:lang w:eastAsia="en-GB"/>
        </w:rPr>
        <w:t> </w:t>
      </w:r>
    </w:p>
    <w:p w14:paraId="1CF4CD6F" w14:textId="77777777" w:rsidR="00FB55B5" w:rsidRPr="00FB55B5" w:rsidRDefault="00162F2E" w:rsidP="00FB55B5">
      <w:pPr>
        <w:autoSpaceDE/>
        <w:autoSpaceDN/>
        <w:adjustRightInd/>
        <w:spacing w:after="0"/>
        <w:textAlignment w:val="baseline"/>
        <w:rPr>
          <w:rFonts w:ascii="Segoe UI" w:eastAsia="Times New Roman" w:hAnsi="Segoe UI" w:cs="Segoe UI"/>
          <w:color w:val="auto"/>
          <w:sz w:val="18"/>
          <w:szCs w:val="18"/>
          <w:lang w:eastAsia="en-GB"/>
        </w:rPr>
      </w:pPr>
      <w:r w:rsidRPr="00FB55B5">
        <w:rPr>
          <w:rFonts w:eastAsia="Times New Roman" w:cs="Arial"/>
          <w:color w:val="auto"/>
          <w:lang w:eastAsia="en-GB"/>
        </w:rPr>
        <w:t> </w:t>
      </w:r>
    </w:p>
    <w:p w14:paraId="7679CFEC" w14:textId="0B4F5D7C" w:rsidR="00FB55B5" w:rsidRDefault="00162F2E" w:rsidP="00FB55B5">
      <w:pPr>
        <w:autoSpaceDE/>
        <w:autoSpaceDN/>
        <w:adjustRightInd/>
        <w:spacing w:after="0"/>
        <w:textAlignment w:val="baseline"/>
        <w:rPr>
          <w:rFonts w:eastAsia="Times New Roman" w:cs="Arial"/>
          <w:color w:val="auto"/>
          <w:lang w:eastAsia="en-GB"/>
        </w:rPr>
      </w:pPr>
      <w:r w:rsidRPr="00FB55B5">
        <w:rPr>
          <w:rFonts w:eastAsia="Times New Roman" w:cs="Arial"/>
          <w:color w:val="auto"/>
          <w:lang w:eastAsia="en-GB"/>
        </w:rPr>
        <w:t xml:space="preserve">The </w:t>
      </w:r>
      <w:r w:rsidR="00BE25B2">
        <w:rPr>
          <w:rFonts w:eastAsia="Times New Roman" w:cs="Arial"/>
          <w:color w:val="auto"/>
          <w:lang w:eastAsia="en-GB"/>
        </w:rPr>
        <w:t>outturn</w:t>
      </w:r>
      <w:r w:rsidRPr="00FB55B5">
        <w:rPr>
          <w:rFonts w:eastAsia="Times New Roman" w:cs="Arial"/>
          <w:color w:val="auto"/>
          <w:lang w:eastAsia="en-GB"/>
        </w:rPr>
        <w:t xml:space="preserve"> for Nursing </w:t>
      </w:r>
      <w:r w:rsidR="001F53BA">
        <w:rPr>
          <w:rFonts w:eastAsia="Times New Roman" w:cs="Arial"/>
          <w:color w:val="auto"/>
          <w:lang w:eastAsia="en-GB"/>
        </w:rPr>
        <w:t>C</w:t>
      </w:r>
      <w:r w:rsidRPr="00FB55B5">
        <w:rPr>
          <w:rFonts w:eastAsia="Times New Roman" w:cs="Arial"/>
          <w:color w:val="auto"/>
          <w:lang w:eastAsia="en-GB"/>
        </w:rPr>
        <w:t>are is an underspend of £4.129m (Q3 forecast underspend £4.578m)</w:t>
      </w:r>
      <w:r w:rsidR="00674FF6">
        <w:rPr>
          <w:rFonts w:eastAsia="Times New Roman" w:cs="Arial"/>
          <w:color w:val="auto"/>
          <w:lang w:eastAsia="en-GB"/>
        </w:rPr>
        <w:t>.</w:t>
      </w:r>
      <w:r w:rsidRPr="00FB55B5">
        <w:rPr>
          <w:rFonts w:eastAsia="Times New Roman" w:cs="Arial"/>
          <w:color w:val="auto"/>
          <w:lang w:eastAsia="en-GB"/>
        </w:rPr>
        <w:t>  </w:t>
      </w:r>
    </w:p>
    <w:p w14:paraId="7EC21557" w14:textId="77777777" w:rsidR="00642D26" w:rsidRPr="00FB55B5" w:rsidRDefault="00642D26" w:rsidP="00FB55B5">
      <w:pPr>
        <w:autoSpaceDE/>
        <w:autoSpaceDN/>
        <w:adjustRightInd/>
        <w:spacing w:after="0"/>
        <w:textAlignment w:val="baseline"/>
        <w:rPr>
          <w:rFonts w:ascii="Segoe UI" w:eastAsia="Times New Roman" w:hAnsi="Segoe UI" w:cs="Segoe UI"/>
          <w:color w:val="auto"/>
          <w:sz w:val="18"/>
          <w:szCs w:val="18"/>
          <w:lang w:eastAsia="en-GB"/>
        </w:rPr>
      </w:pPr>
    </w:p>
    <w:p w14:paraId="3A2A7E35" w14:textId="77777777" w:rsidR="00FB55B5" w:rsidRPr="0025371B" w:rsidRDefault="00162F2E" w:rsidP="0025456F">
      <w:pPr>
        <w:pStyle w:val="ListParagraph"/>
        <w:numPr>
          <w:ilvl w:val="0"/>
          <w:numId w:val="43"/>
        </w:numPr>
        <w:autoSpaceDE/>
        <w:autoSpaceDN/>
        <w:adjustRightInd/>
        <w:spacing w:after="0"/>
        <w:textAlignment w:val="baseline"/>
        <w:rPr>
          <w:rFonts w:eastAsia="Times New Roman" w:cs="Arial"/>
          <w:lang w:eastAsia="en-GB"/>
        </w:rPr>
      </w:pPr>
      <w:r w:rsidRPr="0025371B">
        <w:rPr>
          <w:rFonts w:eastAsia="Times New Roman" w:cs="Arial"/>
          <w:color w:val="auto"/>
          <w:lang w:eastAsia="en-GB"/>
        </w:rPr>
        <w:t xml:space="preserve">Nursing </w:t>
      </w:r>
      <w:r w:rsidR="001F53BA">
        <w:rPr>
          <w:rFonts w:eastAsia="Times New Roman" w:cs="Arial"/>
          <w:color w:val="auto"/>
          <w:lang w:eastAsia="en-GB"/>
        </w:rPr>
        <w:t>C</w:t>
      </w:r>
      <w:r w:rsidRPr="0025371B">
        <w:rPr>
          <w:rFonts w:eastAsia="Times New Roman" w:cs="Arial"/>
          <w:color w:val="auto"/>
          <w:lang w:eastAsia="en-GB"/>
        </w:rPr>
        <w:t>are was significantly below budget in 2020</w:t>
      </w:r>
      <w:r w:rsidR="001F53BA">
        <w:rPr>
          <w:rFonts w:eastAsia="Times New Roman" w:cs="Arial"/>
          <w:color w:val="auto"/>
          <w:lang w:eastAsia="en-GB"/>
        </w:rPr>
        <w:t>/</w:t>
      </w:r>
      <w:r w:rsidRPr="0025371B">
        <w:rPr>
          <w:rFonts w:eastAsia="Times New Roman" w:cs="Arial"/>
          <w:color w:val="auto"/>
          <w:lang w:eastAsia="en-GB"/>
        </w:rPr>
        <w:t xml:space="preserve">21 due to lower than budgeted demand pressures. Numbers have increased during </w:t>
      </w:r>
      <w:r w:rsidR="001F53BA">
        <w:rPr>
          <w:rFonts w:eastAsia="Times New Roman" w:cs="Arial"/>
          <w:color w:val="auto"/>
          <w:lang w:eastAsia="en-GB"/>
        </w:rPr>
        <w:t>20</w:t>
      </w:r>
      <w:r w:rsidRPr="0025371B">
        <w:rPr>
          <w:rFonts w:eastAsia="Times New Roman" w:cs="Arial"/>
          <w:color w:val="auto"/>
          <w:lang w:eastAsia="en-GB"/>
        </w:rPr>
        <w:t>21</w:t>
      </w:r>
      <w:r w:rsidR="001F53BA">
        <w:rPr>
          <w:rFonts w:eastAsia="Times New Roman" w:cs="Arial"/>
          <w:color w:val="auto"/>
          <w:lang w:eastAsia="en-GB"/>
        </w:rPr>
        <w:t>/</w:t>
      </w:r>
      <w:r w:rsidRPr="0025371B">
        <w:rPr>
          <w:rFonts w:eastAsia="Times New Roman" w:cs="Arial"/>
          <w:color w:val="auto"/>
          <w:lang w:eastAsia="en-GB"/>
        </w:rPr>
        <w:t>22 but are still at a lower level than before the pandemic</w:t>
      </w:r>
      <w:r w:rsidR="001434B6">
        <w:rPr>
          <w:rFonts w:eastAsia="Times New Roman" w:cs="Arial"/>
          <w:color w:val="auto"/>
          <w:lang w:eastAsia="en-GB"/>
        </w:rPr>
        <w:t>.</w:t>
      </w:r>
      <w:r w:rsidRPr="0025371B">
        <w:rPr>
          <w:rFonts w:eastAsia="Times New Roman" w:cs="Arial"/>
          <w:color w:val="auto"/>
          <w:lang w:eastAsia="en-GB"/>
        </w:rPr>
        <w:t> </w:t>
      </w:r>
    </w:p>
    <w:p w14:paraId="0B387945" w14:textId="77777777" w:rsidR="00FB55B5" w:rsidRPr="0025371B" w:rsidRDefault="00162F2E" w:rsidP="0025456F">
      <w:pPr>
        <w:pStyle w:val="ListParagraph"/>
        <w:numPr>
          <w:ilvl w:val="0"/>
          <w:numId w:val="43"/>
        </w:numPr>
        <w:autoSpaceDE/>
        <w:autoSpaceDN/>
        <w:adjustRightInd/>
        <w:spacing w:after="0"/>
        <w:textAlignment w:val="baseline"/>
        <w:rPr>
          <w:rFonts w:eastAsia="Times New Roman" w:cs="Arial"/>
          <w:lang w:eastAsia="en-GB"/>
        </w:rPr>
      </w:pPr>
      <w:r w:rsidRPr="0025371B">
        <w:rPr>
          <w:rFonts w:eastAsia="Times New Roman" w:cs="Arial"/>
          <w:color w:val="auto"/>
          <w:lang w:eastAsia="en-GB"/>
        </w:rPr>
        <w:t xml:space="preserve">As with </w:t>
      </w:r>
      <w:r w:rsidR="001434B6">
        <w:rPr>
          <w:rFonts w:eastAsia="Times New Roman" w:cs="Arial"/>
          <w:color w:val="auto"/>
          <w:lang w:eastAsia="en-GB"/>
        </w:rPr>
        <w:t>R</w:t>
      </w:r>
      <w:r w:rsidRPr="0025371B">
        <w:rPr>
          <w:rFonts w:eastAsia="Times New Roman" w:cs="Arial"/>
          <w:color w:val="auto"/>
          <w:lang w:eastAsia="en-GB"/>
        </w:rPr>
        <w:t xml:space="preserve">esidential </w:t>
      </w:r>
      <w:r w:rsidR="001434B6">
        <w:rPr>
          <w:rFonts w:eastAsia="Times New Roman" w:cs="Arial"/>
          <w:color w:val="auto"/>
          <w:lang w:eastAsia="en-GB"/>
        </w:rPr>
        <w:t>C</w:t>
      </w:r>
      <w:r w:rsidRPr="0025371B">
        <w:rPr>
          <w:rFonts w:eastAsia="Times New Roman" w:cs="Arial"/>
          <w:color w:val="auto"/>
          <w:lang w:eastAsia="en-GB"/>
        </w:rPr>
        <w:t>are, the forecast includes expenditure on Discharge to Assess packages and associated enhanced discharge funding. </w:t>
      </w:r>
    </w:p>
    <w:p w14:paraId="10910085" w14:textId="77777777" w:rsidR="00FB55B5" w:rsidRPr="0025371B" w:rsidRDefault="00162F2E" w:rsidP="0025456F">
      <w:pPr>
        <w:pStyle w:val="ListParagraph"/>
        <w:numPr>
          <w:ilvl w:val="0"/>
          <w:numId w:val="43"/>
        </w:numPr>
        <w:autoSpaceDE/>
        <w:autoSpaceDN/>
        <w:adjustRightInd/>
        <w:spacing w:after="0"/>
        <w:textAlignment w:val="baseline"/>
        <w:rPr>
          <w:rFonts w:eastAsia="Times New Roman" w:cs="Arial"/>
          <w:lang w:eastAsia="en-GB"/>
        </w:rPr>
      </w:pPr>
      <w:r w:rsidRPr="0025371B">
        <w:rPr>
          <w:rFonts w:eastAsia="Times New Roman" w:cs="Arial"/>
          <w:color w:val="auto"/>
          <w:lang w:eastAsia="en-GB"/>
        </w:rPr>
        <w:t>The outturn for service user income has increased this quarter due to bills raised in respect of previous periods</w:t>
      </w:r>
      <w:r w:rsidR="00D018D1">
        <w:rPr>
          <w:rFonts w:eastAsia="Times New Roman" w:cs="Arial"/>
          <w:color w:val="auto"/>
          <w:lang w:eastAsia="en-GB"/>
        </w:rPr>
        <w:t>.</w:t>
      </w:r>
      <w:r w:rsidRPr="0025371B">
        <w:rPr>
          <w:rFonts w:eastAsia="Times New Roman" w:cs="Arial"/>
          <w:color w:val="auto"/>
          <w:lang w:eastAsia="en-GB"/>
        </w:rPr>
        <w:t> </w:t>
      </w:r>
    </w:p>
    <w:p w14:paraId="25CDA77D" w14:textId="77777777" w:rsidR="00FB55B5" w:rsidRPr="0025371B" w:rsidRDefault="00162F2E" w:rsidP="0025456F">
      <w:pPr>
        <w:pStyle w:val="ListParagraph"/>
        <w:numPr>
          <w:ilvl w:val="0"/>
          <w:numId w:val="43"/>
        </w:numPr>
        <w:autoSpaceDE/>
        <w:autoSpaceDN/>
        <w:adjustRightInd/>
        <w:spacing w:after="0"/>
        <w:textAlignment w:val="baseline"/>
        <w:rPr>
          <w:rFonts w:eastAsia="Times New Roman" w:cs="Arial"/>
          <w:lang w:eastAsia="en-GB"/>
        </w:rPr>
      </w:pPr>
      <w:r w:rsidRPr="0025371B">
        <w:rPr>
          <w:rFonts w:eastAsia="Times New Roman" w:cs="Arial"/>
          <w:color w:val="auto"/>
          <w:lang w:eastAsia="en-GB"/>
        </w:rPr>
        <w:t xml:space="preserve">The service user income forecast for Q1 included a one-off benefit of c£700,000 due to a change in </w:t>
      </w:r>
      <w:r w:rsidR="007D287F">
        <w:rPr>
          <w:rFonts w:eastAsia="Times New Roman" w:cs="Arial"/>
          <w:color w:val="auto"/>
          <w:lang w:eastAsia="en-GB"/>
        </w:rPr>
        <w:t xml:space="preserve">our </w:t>
      </w:r>
      <w:r w:rsidR="00D018D1">
        <w:rPr>
          <w:rFonts w:eastAsia="Times New Roman" w:cs="Arial"/>
          <w:color w:val="auto"/>
          <w:lang w:eastAsia="en-GB"/>
        </w:rPr>
        <w:t>B</w:t>
      </w:r>
      <w:r w:rsidRPr="0025371B">
        <w:rPr>
          <w:rFonts w:eastAsia="Times New Roman" w:cs="Arial"/>
          <w:color w:val="auto"/>
          <w:lang w:eastAsia="en-GB"/>
        </w:rPr>
        <w:t xml:space="preserve">ad </w:t>
      </w:r>
      <w:r w:rsidR="007D287F">
        <w:rPr>
          <w:rFonts w:eastAsia="Times New Roman" w:cs="Arial"/>
          <w:color w:val="auto"/>
          <w:lang w:eastAsia="en-GB"/>
        </w:rPr>
        <w:t>D</w:t>
      </w:r>
      <w:r w:rsidRPr="0025371B">
        <w:rPr>
          <w:rFonts w:eastAsia="Times New Roman" w:cs="Arial"/>
          <w:color w:val="auto"/>
          <w:lang w:eastAsia="en-GB"/>
        </w:rPr>
        <w:t xml:space="preserve">ebt </w:t>
      </w:r>
      <w:r w:rsidR="007D287F">
        <w:rPr>
          <w:rFonts w:eastAsia="Times New Roman" w:cs="Arial"/>
          <w:color w:val="auto"/>
          <w:lang w:eastAsia="en-GB"/>
        </w:rPr>
        <w:t>P</w:t>
      </w:r>
      <w:r w:rsidRPr="0025371B">
        <w:rPr>
          <w:rFonts w:eastAsia="Times New Roman" w:cs="Arial"/>
          <w:color w:val="auto"/>
          <w:lang w:eastAsia="en-GB"/>
        </w:rPr>
        <w:t>olicy, with further reductions during the year and particularly in Q4</w:t>
      </w:r>
      <w:r w:rsidR="007D287F">
        <w:rPr>
          <w:rFonts w:eastAsia="Times New Roman" w:cs="Arial"/>
          <w:color w:val="auto"/>
          <w:lang w:eastAsia="en-GB"/>
        </w:rPr>
        <w:t>.</w:t>
      </w:r>
    </w:p>
    <w:p w14:paraId="5D9F3096" w14:textId="77777777" w:rsidR="00FB55B5" w:rsidRPr="00FB55B5" w:rsidRDefault="00FB55B5" w:rsidP="00FB55B5">
      <w:pPr>
        <w:autoSpaceDE/>
        <w:autoSpaceDN/>
        <w:adjustRightInd/>
        <w:spacing w:after="0"/>
        <w:jc w:val="left"/>
        <w:textAlignment w:val="baseline"/>
        <w:rPr>
          <w:rFonts w:ascii="Segoe UI" w:eastAsia="Times New Roman" w:hAnsi="Segoe UI" w:cs="Segoe UI"/>
          <w:color w:val="auto"/>
          <w:sz w:val="18"/>
          <w:szCs w:val="18"/>
          <w:lang w:eastAsia="en-GB"/>
        </w:rPr>
      </w:pPr>
    </w:p>
    <w:p w14:paraId="3F17E3F4" w14:textId="77777777" w:rsidR="00FB55B5" w:rsidRPr="00FB55B5" w:rsidRDefault="00FB55B5" w:rsidP="00FB55B5">
      <w:pPr>
        <w:autoSpaceDE/>
        <w:autoSpaceDN/>
        <w:adjustRightInd/>
        <w:spacing w:after="0"/>
        <w:jc w:val="left"/>
        <w:textAlignment w:val="baseline"/>
        <w:rPr>
          <w:rFonts w:ascii="Segoe UI" w:eastAsia="Times New Roman" w:hAnsi="Segoe UI" w:cs="Segoe UI"/>
          <w:color w:val="auto"/>
          <w:sz w:val="18"/>
          <w:szCs w:val="18"/>
          <w:lang w:eastAsia="en-GB"/>
        </w:rPr>
      </w:pPr>
    </w:p>
    <w:p w14:paraId="1290CBFA" w14:textId="77777777" w:rsidR="00FB55B5" w:rsidRDefault="00162F2E" w:rsidP="00B94E54">
      <w:pPr>
        <w:autoSpaceDE/>
        <w:autoSpaceDN/>
        <w:adjustRightInd/>
        <w:spacing w:after="0"/>
        <w:jc w:val="left"/>
        <w:textAlignment w:val="baseline"/>
        <w:rPr>
          <w:rFonts w:eastAsia="Times New Roman" w:cs="Arial"/>
          <w:b/>
          <w:color w:val="auto"/>
          <w:lang w:eastAsia="en-GB"/>
        </w:rPr>
      </w:pPr>
      <w:r w:rsidRPr="00B94E54">
        <w:rPr>
          <w:rFonts w:eastAsia="Times New Roman" w:cs="Arial"/>
          <w:b/>
          <w:bCs/>
          <w:color w:val="auto"/>
          <w:lang w:eastAsia="en-GB"/>
        </w:rPr>
        <w:t xml:space="preserve">Non-Residential Care – Overspend £2.660m </w:t>
      </w:r>
    </w:p>
    <w:p w14:paraId="57EE0279" w14:textId="77777777" w:rsidR="00FA5DFD" w:rsidRPr="00FB55B5" w:rsidRDefault="00FA5DFD" w:rsidP="00FB55B5">
      <w:pPr>
        <w:autoSpaceDE/>
        <w:autoSpaceDN/>
        <w:adjustRightInd/>
        <w:spacing w:after="0"/>
        <w:jc w:val="left"/>
        <w:textAlignment w:val="baseline"/>
        <w:rPr>
          <w:rFonts w:ascii="Segoe UI" w:eastAsia="Times New Roman" w:hAnsi="Segoe UI" w:cs="Segoe UI"/>
          <w:color w:val="auto"/>
          <w:sz w:val="18"/>
          <w:szCs w:val="18"/>
          <w:lang w:eastAsia="en-GB"/>
        </w:rPr>
      </w:pPr>
    </w:p>
    <w:p w14:paraId="60E1AED3" w14:textId="77777777" w:rsidR="00FB55B5" w:rsidRDefault="00162F2E" w:rsidP="00FB55B5">
      <w:pPr>
        <w:autoSpaceDE/>
        <w:autoSpaceDN/>
        <w:adjustRightInd/>
        <w:spacing w:after="0"/>
        <w:textAlignment w:val="baseline"/>
        <w:rPr>
          <w:rFonts w:eastAsia="Times New Roman" w:cs="Arial"/>
          <w:color w:val="auto"/>
          <w:lang w:eastAsia="en-GB"/>
        </w:rPr>
      </w:pPr>
      <w:r w:rsidRPr="00FB55B5">
        <w:rPr>
          <w:rFonts w:eastAsia="Times New Roman" w:cs="Arial"/>
          <w:color w:val="auto"/>
          <w:lang w:eastAsia="en-GB"/>
        </w:rPr>
        <w:t xml:space="preserve">The outturn for Home Care is an overspend of £5.094m as per the </w:t>
      </w:r>
      <w:r w:rsidR="0025371B">
        <w:rPr>
          <w:rFonts w:eastAsia="Times New Roman" w:cs="Arial"/>
          <w:color w:val="auto"/>
          <w:lang w:eastAsia="en-GB"/>
        </w:rPr>
        <w:t>information</w:t>
      </w:r>
      <w:r w:rsidRPr="00FB55B5">
        <w:rPr>
          <w:rFonts w:eastAsia="Times New Roman" w:cs="Arial"/>
          <w:color w:val="auto"/>
          <w:lang w:eastAsia="en-GB"/>
        </w:rPr>
        <w:t xml:space="preserve"> below (Q3 forecast overspend £8.535m)</w:t>
      </w:r>
      <w:r w:rsidR="007D287F">
        <w:rPr>
          <w:rFonts w:eastAsia="Times New Roman" w:cs="Arial"/>
          <w:color w:val="auto"/>
          <w:lang w:eastAsia="en-GB"/>
        </w:rPr>
        <w:t>:</w:t>
      </w:r>
      <w:r w:rsidRPr="00FB55B5">
        <w:rPr>
          <w:rFonts w:eastAsia="Times New Roman" w:cs="Arial"/>
          <w:color w:val="auto"/>
          <w:lang w:eastAsia="en-GB"/>
        </w:rPr>
        <w:t> </w:t>
      </w:r>
    </w:p>
    <w:p w14:paraId="4CFCD0CF" w14:textId="77777777" w:rsidR="00D7648D" w:rsidRPr="00FB55B5" w:rsidRDefault="00D7648D" w:rsidP="00FB55B5">
      <w:pPr>
        <w:autoSpaceDE/>
        <w:autoSpaceDN/>
        <w:adjustRightInd/>
        <w:spacing w:after="0"/>
        <w:textAlignment w:val="baseline"/>
        <w:rPr>
          <w:rFonts w:ascii="Segoe UI" w:eastAsia="Times New Roman" w:hAnsi="Segoe UI" w:cs="Segoe UI"/>
          <w:color w:val="auto"/>
          <w:sz w:val="18"/>
          <w:szCs w:val="18"/>
          <w:lang w:eastAsia="en-GB"/>
        </w:rPr>
      </w:pPr>
    </w:p>
    <w:p w14:paraId="19E36E37" w14:textId="77777777" w:rsidR="00FB55B5" w:rsidRPr="000364CA" w:rsidRDefault="00162F2E" w:rsidP="0025456F">
      <w:pPr>
        <w:pStyle w:val="ListParagraph"/>
        <w:numPr>
          <w:ilvl w:val="0"/>
          <w:numId w:val="44"/>
        </w:numPr>
        <w:autoSpaceDE/>
        <w:autoSpaceDN/>
        <w:adjustRightInd/>
        <w:spacing w:after="0"/>
        <w:textAlignment w:val="baseline"/>
        <w:rPr>
          <w:rFonts w:eastAsia="Times New Roman" w:cs="Arial"/>
          <w:lang w:eastAsia="en-GB"/>
        </w:rPr>
      </w:pPr>
      <w:r w:rsidRPr="000364CA">
        <w:rPr>
          <w:rFonts w:eastAsia="Times New Roman" w:cs="Arial"/>
          <w:color w:val="auto"/>
          <w:lang w:eastAsia="en-GB"/>
        </w:rPr>
        <w:t>There are budget pressures brought forward from previous years due to delayed savings delivery</w:t>
      </w:r>
      <w:r w:rsidR="00BD5838">
        <w:rPr>
          <w:rFonts w:eastAsia="Times New Roman" w:cs="Arial"/>
          <w:color w:val="auto"/>
          <w:lang w:eastAsia="en-GB"/>
        </w:rPr>
        <w:t>.</w:t>
      </w:r>
      <w:r w:rsidRPr="000364CA">
        <w:rPr>
          <w:rFonts w:eastAsia="Times New Roman" w:cs="Arial"/>
          <w:color w:val="auto"/>
          <w:lang w:eastAsia="en-GB"/>
        </w:rPr>
        <w:t> </w:t>
      </w:r>
    </w:p>
    <w:p w14:paraId="450805BA" w14:textId="77777777" w:rsidR="00FB55B5" w:rsidRPr="000364CA" w:rsidRDefault="00162F2E" w:rsidP="0025456F">
      <w:pPr>
        <w:pStyle w:val="ListParagraph"/>
        <w:numPr>
          <w:ilvl w:val="0"/>
          <w:numId w:val="44"/>
        </w:numPr>
        <w:autoSpaceDE/>
        <w:autoSpaceDN/>
        <w:adjustRightInd/>
        <w:spacing w:after="0"/>
        <w:textAlignment w:val="baseline"/>
        <w:rPr>
          <w:rFonts w:eastAsia="Times New Roman" w:cs="Arial"/>
          <w:lang w:eastAsia="en-GB"/>
        </w:rPr>
      </w:pPr>
      <w:r w:rsidRPr="000364CA">
        <w:rPr>
          <w:rFonts w:eastAsia="Times New Roman" w:cs="Arial"/>
          <w:color w:val="auto"/>
          <w:lang w:eastAsia="en-GB"/>
        </w:rPr>
        <w:t>There was a significant growth in service user numbers during the last quarter of 2020/21 and this continued into the earlier part of the current year</w:t>
      </w:r>
      <w:r w:rsidR="00BD5838">
        <w:rPr>
          <w:rFonts w:eastAsia="Times New Roman" w:cs="Arial"/>
          <w:color w:val="auto"/>
          <w:lang w:eastAsia="en-GB"/>
        </w:rPr>
        <w:t>, h</w:t>
      </w:r>
      <w:r w:rsidRPr="000364CA">
        <w:rPr>
          <w:rFonts w:eastAsia="Times New Roman" w:cs="Arial"/>
          <w:color w:val="auto"/>
          <w:lang w:eastAsia="en-GB"/>
        </w:rPr>
        <w:t xml:space="preserve">owever, spend has reduced again over the winter months. The </w:t>
      </w:r>
      <w:r w:rsidR="00BE25B2">
        <w:rPr>
          <w:rFonts w:eastAsia="Times New Roman" w:cs="Arial"/>
          <w:color w:val="auto"/>
          <w:lang w:eastAsia="en-GB"/>
        </w:rPr>
        <w:t>outturn</w:t>
      </w:r>
      <w:r w:rsidRPr="000364CA">
        <w:rPr>
          <w:rFonts w:eastAsia="Times New Roman" w:cs="Arial"/>
          <w:color w:val="auto"/>
          <w:lang w:eastAsia="en-GB"/>
        </w:rPr>
        <w:t xml:space="preserve"> is significantly lower than the Q3 forecast, which included an element of growth which did not materialise</w:t>
      </w:r>
      <w:r w:rsidR="007D2E6B">
        <w:rPr>
          <w:rFonts w:eastAsia="Times New Roman" w:cs="Arial"/>
          <w:color w:val="auto"/>
          <w:lang w:eastAsia="en-GB"/>
        </w:rPr>
        <w:t>.</w:t>
      </w:r>
      <w:r w:rsidRPr="000364CA">
        <w:rPr>
          <w:rFonts w:eastAsia="Times New Roman" w:cs="Arial"/>
          <w:color w:val="auto"/>
          <w:lang w:eastAsia="en-GB"/>
        </w:rPr>
        <w:t> </w:t>
      </w:r>
    </w:p>
    <w:p w14:paraId="5FD090ED" w14:textId="77777777" w:rsidR="00FB55B5" w:rsidRPr="000364CA" w:rsidRDefault="00162F2E" w:rsidP="0025456F">
      <w:pPr>
        <w:pStyle w:val="ListParagraph"/>
        <w:numPr>
          <w:ilvl w:val="0"/>
          <w:numId w:val="44"/>
        </w:numPr>
        <w:autoSpaceDE/>
        <w:autoSpaceDN/>
        <w:adjustRightInd/>
        <w:spacing w:after="0"/>
        <w:textAlignment w:val="baseline"/>
        <w:rPr>
          <w:rFonts w:eastAsia="Times New Roman" w:cs="Arial"/>
          <w:lang w:eastAsia="en-GB"/>
        </w:rPr>
      </w:pPr>
      <w:r w:rsidRPr="000364CA">
        <w:rPr>
          <w:rFonts w:eastAsia="Times New Roman" w:cs="Arial"/>
          <w:color w:val="auto"/>
          <w:lang w:eastAsia="en-GB"/>
        </w:rPr>
        <w:t xml:space="preserve">Service </w:t>
      </w:r>
      <w:r w:rsidR="007D2E6B">
        <w:rPr>
          <w:rFonts w:eastAsia="Times New Roman" w:cs="Arial"/>
          <w:color w:val="auto"/>
          <w:lang w:eastAsia="en-GB"/>
        </w:rPr>
        <w:t>U</w:t>
      </w:r>
      <w:r w:rsidRPr="000364CA">
        <w:rPr>
          <w:rFonts w:eastAsia="Times New Roman" w:cs="Arial"/>
          <w:color w:val="auto"/>
          <w:lang w:eastAsia="en-GB"/>
        </w:rPr>
        <w:t xml:space="preserve">ser income had a one-off benefit from the change in </w:t>
      </w:r>
      <w:r w:rsidR="007D2E6B">
        <w:rPr>
          <w:rFonts w:eastAsia="Times New Roman" w:cs="Arial"/>
          <w:color w:val="auto"/>
          <w:lang w:eastAsia="en-GB"/>
        </w:rPr>
        <w:t>our B</w:t>
      </w:r>
      <w:r w:rsidRPr="000364CA">
        <w:rPr>
          <w:rFonts w:eastAsia="Times New Roman" w:cs="Arial"/>
          <w:color w:val="auto"/>
          <w:lang w:eastAsia="en-GB"/>
        </w:rPr>
        <w:t xml:space="preserve">ad </w:t>
      </w:r>
      <w:r w:rsidR="007D2E6B">
        <w:rPr>
          <w:rFonts w:eastAsia="Times New Roman" w:cs="Arial"/>
          <w:color w:val="auto"/>
          <w:lang w:eastAsia="en-GB"/>
        </w:rPr>
        <w:t>D</w:t>
      </w:r>
      <w:r w:rsidRPr="000364CA">
        <w:rPr>
          <w:rFonts w:eastAsia="Times New Roman" w:cs="Arial"/>
          <w:color w:val="auto"/>
          <w:lang w:eastAsia="en-GB"/>
        </w:rPr>
        <w:t xml:space="preserve">ebt </w:t>
      </w:r>
      <w:r w:rsidR="007D2E6B">
        <w:rPr>
          <w:rFonts w:eastAsia="Times New Roman" w:cs="Arial"/>
          <w:color w:val="auto"/>
          <w:lang w:eastAsia="en-GB"/>
        </w:rPr>
        <w:t>P</w:t>
      </w:r>
      <w:r w:rsidRPr="000364CA">
        <w:rPr>
          <w:rFonts w:eastAsia="Times New Roman" w:cs="Arial"/>
          <w:color w:val="auto"/>
          <w:lang w:eastAsia="en-GB"/>
        </w:rPr>
        <w:t>olicy by around £420,000 in Q1. In addition, bad debt provision and write-offs have reduced during the year with a substantial drop in Q4</w:t>
      </w:r>
      <w:r w:rsidR="007D2E6B">
        <w:rPr>
          <w:rFonts w:eastAsia="Times New Roman" w:cs="Arial"/>
          <w:color w:val="auto"/>
          <w:lang w:eastAsia="en-GB"/>
        </w:rPr>
        <w:t>.</w:t>
      </w:r>
      <w:r w:rsidRPr="000364CA">
        <w:rPr>
          <w:rFonts w:eastAsia="Times New Roman" w:cs="Arial"/>
          <w:color w:val="auto"/>
          <w:lang w:eastAsia="en-GB"/>
        </w:rPr>
        <w:t> </w:t>
      </w:r>
    </w:p>
    <w:p w14:paraId="5F54C490" w14:textId="77777777" w:rsidR="005115C9" w:rsidRPr="00936DB8" w:rsidRDefault="00162F2E" w:rsidP="005115C9">
      <w:pPr>
        <w:pStyle w:val="ListParagraph"/>
        <w:numPr>
          <w:ilvl w:val="0"/>
          <w:numId w:val="44"/>
        </w:numPr>
        <w:autoSpaceDE/>
        <w:autoSpaceDN/>
        <w:adjustRightInd/>
        <w:spacing w:after="0"/>
        <w:textAlignment w:val="baseline"/>
        <w:rPr>
          <w:rFonts w:eastAsia="Times New Roman" w:cs="Arial"/>
          <w:lang w:eastAsia="en-GB"/>
        </w:rPr>
      </w:pPr>
      <w:r w:rsidRPr="000364CA">
        <w:rPr>
          <w:rFonts w:eastAsia="Times New Roman" w:cs="Arial"/>
          <w:color w:val="auto"/>
          <w:lang w:eastAsia="en-GB"/>
        </w:rPr>
        <w:t xml:space="preserve">There are additional cost pressures due to the current difficulties in sourcing </w:t>
      </w:r>
      <w:r w:rsidR="007D2E6B">
        <w:rPr>
          <w:rFonts w:eastAsia="Times New Roman" w:cs="Arial"/>
          <w:color w:val="auto"/>
          <w:lang w:eastAsia="en-GB"/>
        </w:rPr>
        <w:t xml:space="preserve">Home Care </w:t>
      </w:r>
      <w:r w:rsidRPr="000364CA">
        <w:rPr>
          <w:rFonts w:eastAsia="Times New Roman" w:cs="Arial"/>
          <w:color w:val="auto"/>
          <w:lang w:eastAsia="en-GB"/>
        </w:rPr>
        <w:t>from Framework providers, which has resulted in an increase in off-framework packages at higher rates.  </w:t>
      </w:r>
    </w:p>
    <w:p w14:paraId="5205BACD" w14:textId="77777777" w:rsidR="00936DB8" w:rsidRPr="00936DB8" w:rsidRDefault="00936DB8" w:rsidP="00936DB8">
      <w:pPr>
        <w:pStyle w:val="ListParagraph"/>
        <w:autoSpaceDE/>
        <w:autoSpaceDN/>
        <w:adjustRightInd/>
        <w:spacing w:after="0"/>
        <w:textAlignment w:val="baseline"/>
        <w:rPr>
          <w:rFonts w:eastAsia="Times New Roman" w:cs="Arial"/>
          <w:lang w:eastAsia="en-GB"/>
        </w:rPr>
      </w:pPr>
    </w:p>
    <w:p w14:paraId="40DC394B" w14:textId="77777777" w:rsidR="00FB55B5" w:rsidRPr="00FB55B5" w:rsidRDefault="00162F2E" w:rsidP="00FB55B5">
      <w:pPr>
        <w:autoSpaceDE/>
        <w:autoSpaceDN/>
        <w:adjustRightInd/>
        <w:spacing w:after="0"/>
        <w:textAlignment w:val="baseline"/>
        <w:rPr>
          <w:rFonts w:ascii="Segoe UI" w:eastAsia="Times New Roman" w:hAnsi="Segoe UI" w:cs="Segoe UI"/>
          <w:color w:val="auto"/>
          <w:sz w:val="18"/>
          <w:szCs w:val="18"/>
          <w:lang w:eastAsia="en-GB"/>
        </w:rPr>
      </w:pPr>
      <w:r w:rsidRPr="00FB55B5">
        <w:rPr>
          <w:rFonts w:eastAsia="Times New Roman" w:cs="Arial"/>
          <w:color w:val="auto"/>
          <w:lang w:eastAsia="en-GB"/>
        </w:rPr>
        <w:t xml:space="preserve">This budget area also includes Crisis </w:t>
      </w:r>
      <w:r w:rsidR="00F71BFA">
        <w:rPr>
          <w:rFonts w:eastAsia="Times New Roman" w:cs="Arial"/>
          <w:color w:val="auto"/>
          <w:lang w:eastAsia="en-GB"/>
        </w:rPr>
        <w:t>S</w:t>
      </w:r>
      <w:r w:rsidRPr="00FB55B5">
        <w:rPr>
          <w:rFonts w:eastAsia="Times New Roman" w:cs="Arial"/>
          <w:color w:val="auto"/>
          <w:lang w:eastAsia="en-GB"/>
        </w:rPr>
        <w:t xml:space="preserve">upport with spend totalling £5.934m for the year. Spend is largely funded from Better Care Fund </w:t>
      </w:r>
      <w:r w:rsidR="00F71BFA">
        <w:rPr>
          <w:rFonts w:eastAsia="Times New Roman" w:cs="Arial"/>
          <w:color w:val="auto"/>
          <w:lang w:eastAsia="en-GB"/>
        </w:rPr>
        <w:t>(BCF)</w:t>
      </w:r>
      <w:r w:rsidRPr="00FB55B5">
        <w:rPr>
          <w:rFonts w:eastAsia="Times New Roman" w:cs="Arial"/>
          <w:color w:val="auto"/>
          <w:lang w:eastAsia="en-GB"/>
        </w:rPr>
        <w:t xml:space="preserve"> and iBCF Winter Pressures funding, as well as Enhanced Discharge funding as part of the Winter Plan.  </w:t>
      </w:r>
    </w:p>
    <w:p w14:paraId="5B8EBE86" w14:textId="77777777" w:rsidR="00FB55B5" w:rsidRPr="00FB55B5" w:rsidRDefault="00162F2E" w:rsidP="00FB55B5">
      <w:pPr>
        <w:autoSpaceDE/>
        <w:autoSpaceDN/>
        <w:adjustRightInd/>
        <w:spacing w:after="0"/>
        <w:textAlignment w:val="baseline"/>
        <w:rPr>
          <w:rFonts w:ascii="Segoe UI" w:eastAsia="Times New Roman" w:hAnsi="Segoe UI" w:cs="Segoe UI"/>
          <w:color w:val="auto"/>
          <w:sz w:val="18"/>
          <w:szCs w:val="18"/>
          <w:lang w:eastAsia="en-GB"/>
        </w:rPr>
      </w:pPr>
      <w:r w:rsidRPr="00FB55B5">
        <w:rPr>
          <w:rFonts w:eastAsia="Times New Roman" w:cs="Arial"/>
          <w:color w:val="auto"/>
          <w:lang w:eastAsia="en-GB"/>
        </w:rPr>
        <w:t> </w:t>
      </w:r>
      <w:r w:rsidRPr="00FB55B5">
        <w:rPr>
          <w:rFonts w:eastAsia="Times New Roman" w:cs="Arial"/>
          <w:color w:val="FF0000"/>
          <w:lang w:eastAsia="en-GB"/>
        </w:rPr>
        <w:t> </w:t>
      </w:r>
    </w:p>
    <w:p w14:paraId="0E2FF113" w14:textId="77777777" w:rsidR="00FB55B5" w:rsidRPr="00B94E54" w:rsidRDefault="00162F2E" w:rsidP="00FB55B5">
      <w:pPr>
        <w:autoSpaceDE/>
        <w:autoSpaceDN/>
        <w:adjustRightInd/>
        <w:spacing w:after="0"/>
        <w:textAlignment w:val="baseline"/>
        <w:rPr>
          <w:rFonts w:eastAsia="Times New Roman" w:cs="Arial"/>
          <w:b/>
          <w:bCs/>
          <w:color w:val="auto"/>
          <w:lang w:eastAsia="en-GB"/>
        </w:rPr>
      </w:pPr>
      <w:r w:rsidRPr="00B94E54">
        <w:rPr>
          <w:rFonts w:eastAsia="Times New Roman" w:cs="Arial"/>
          <w:b/>
          <w:bCs/>
          <w:color w:val="auto"/>
          <w:lang w:eastAsia="en-GB"/>
        </w:rPr>
        <w:t>Direct Payments</w:t>
      </w:r>
      <w:r w:rsidR="001372AC">
        <w:rPr>
          <w:rFonts w:eastAsia="Times New Roman" w:cs="Arial"/>
          <w:b/>
          <w:bCs/>
          <w:color w:val="auto"/>
          <w:lang w:eastAsia="en-GB"/>
        </w:rPr>
        <w:t xml:space="preserve"> – </w:t>
      </w:r>
      <w:r w:rsidR="00F71BFA">
        <w:rPr>
          <w:rFonts w:eastAsia="Times New Roman" w:cs="Arial"/>
          <w:b/>
          <w:bCs/>
          <w:color w:val="auto"/>
          <w:lang w:eastAsia="en-GB"/>
        </w:rPr>
        <w:t>U</w:t>
      </w:r>
      <w:r w:rsidR="001372AC">
        <w:rPr>
          <w:rFonts w:eastAsia="Times New Roman" w:cs="Arial"/>
          <w:b/>
          <w:bCs/>
          <w:color w:val="auto"/>
          <w:lang w:eastAsia="en-GB"/>
        </w:rPr>
        <w:t xml:space="preserve">nderspend </w:t>
      </w:r>
      <w:r w:rsidR="00B94E54">
        <w:rPr>
          <w:rFonts w:eastAsia="Times New Roman" w:cs="Arial"/>
          <w:b/>
          <w:bCs/>
          <w:color w:val="auto"/>
          <w:lang w:eastAsia="en-GB"/>
        </w:rPr>
        <w:t>£2.434m</w:t>
      </w:r>
      <w:r w:rsidRPr="00B94E54">
        <w:rPr>
          <w:rFonts w:eastAsia="Times New Roman" w:cs="Arial"/>
          <w:b/>
          <w:bCs/>
          <w:color w:val="auto"/>
          <w:lang w:eastAsia="en-GB"/>
        </w:rPr>
        <w:t xml:space="preserve"> </w:t>
      </w:r>
    </w:p>
    <w:p w14:paraId="604029F0" w14:textId="77777777" w:rsidR="00FA5DFD" w:rsidRPr="00B94E54" w:rsidRDefault="00FA5DFD" w:rsidP="00FB55B5">
      <w:pPr>
        <w:autoSpaceDE/>
        <w:autoSpaceDN/>
        <w:adjustRightInd/>
        <w:spacing w:after="0"/>
        <w:textAlignment w:val="baseline"/>
        <w:rPr>
          <w:rFonts w:eastAsia="Times New Roman" w:cs="Arial"/>
          <w:b/>
          <w:color w:val="auto"/>
          <w:lang w:eastAsia="en-GB"/>
        </w:rPr>
      </w:pPr>
    </w:p>
    <w:p w14:paraId="1895B355" w14:textId="77777777" w:rsidR="00FB55B5" w:rsidRDefault="00162F2E" w:rsidP="000075BB">
      <w:pPr>
        <w:autoSpaceDE/>
        <w:autoSpaceDN/>
        <w:adjustRightInd/>
        <w:spacing w:after="0"/>
        <w:textAlignment w:val="baseline"/>
        <w:rPr>
          <w:rFonts w:eastAsia="Times New Roman" w:cs="Arial"/>
          <w:color w:val="auto"/>
          <w:lang w:eastAsia="en-GB"/>
        </w:rPr>
      </w:pPr>
      <w:r w:rsidRPr="00FB55B5">
        <w:rPr>
          <w:rFonts w:eastAsia="Times New Roman" w:cs="Arial"/>
          <w:color w:val="auto"/>
          <w:lang w:eastAsia="en-GB"/>
        </w:rPr>
        <w:t xml:space="preserve">The </w:t>
      </w:r>
      <w:r w:rsidR="00BE25B2">
        <w:rPr>
          <w:rFonts w:eastAsia="Times New Roman" w:cs="Arial"/>
          <w:color w:val="auto"/>
          <w:lang w:eastAsia="en-GB"/>
        </w:rPr>
        <w:t>outturn</w:t>
      </w:r>
      <w:r w:rsidRPr="00FB55B5">
        <w:rPr>
          <w:rFonts w:eastAsia="Times New Roman" w:cs="Arial"/>
          <w:color w:val="auto"/>
          <w:lang w:eastAsia="en-GB"/>
        </w:rPr>
        <w:t xml:space="preserve"> for Direct Payments is an underspend of £2.434m (Q3 forecast underspend £1.098m)</w:t>
      </w:r>
      <w:r w:rsidR="0099264D">
        <w:rPr>
          <w:rFonts w:eastAsia="Times New Roman" w:cs="Arial"/>
          <w:color w:val="auto"/>
          <w:lang w:eastAsia="en-GB"/>
        </w:rPr>
        <w:t xml:space="preserve">.  </w:t>
      </w:r>
      <w:r w:rsidRPr="00FB55B5">
        <w:rPr>
          <w:rFonts w:eastAsia="Times New Roman" w:cs="Arial"/>
          <w:color w:val="auto"/>
          <w:lang w:eastAsia="en-GB"/>
        </w:rPr>
        <w:t>The Direct Payments budget is also experiencing pressures brought forward from the previous year. </w:t>
      </w:r>
    </w:p>
    <w:p w14:paraId="420D80DF" w14:textId="77777777" w:rsidR="0099264D" w:rsidRPr="00FB55B5" w:rsidRDefault="0099264D" w:rsidP="000075BB">
      <w:pPr>
        <w:autoSpaceDE/>
        <w:autoSpaceDN/>
        <w:adjustRightInd/>
        <w:spacing w:after="0"/>
        <w:textAlignment w:val="baseline"/>
        <w:rPr>
          <w:rFonts w:eastAsia="Times New Roman" w:cs="Arial"/>
          <w:lang w:eastAsia="en-GB"/>
        </w:rPr>
      </w:pPr>
    </w:p>
    <w:p w14:paraId="1B15BF4F" w14:textId="77777777" w:rsidR="00FB55B5" w:rsidRDefault="00162F2E" w:rsidP="002674B0">
      <w:pPr>
        <w:autoSpaceDE/>
        <w:autoSpaceDN/>
        <w:adjustRightInd/>
        <w:spacing w:after="0"/>
        <w:textAlignment w:val="baseline"/>
        <w:rPr>
          <w:rFonts w:eastAsia="Times New Roman" w:cs="Arial"/>
          <w:color w:val="auto"/>
          <w:lang w:eastAsia="en-GB"/>
        </w:rPr>
      </w:pPr>
      <w:r w:rsidRPr="00F44005">
        <w:rPr>
          <w:rFonts w:eastAsia="Times New Roman" w:cs="Arial"/>
          <w:color w:val="auto"/>
          <w:lang w:eastAsia="en-GB"/>
        </w:rPr>
        <w:t xml:space="preserve">These pressures have been offset by an extremely large increase in </w:t>
      </w:r>
      <w:r w:rsidR="0099264D">
        <w:rPr>
          <w:rFonts w:eastAsia="Times New Roman" w:cs="Arial"/>
          <w:color w:val="auto"/>
          <w:lang w:eastAsia="en-GB"/>
        </w:rPr>
        <w:t xml:space="preserve">uncommitted </w:t>
      </w:r>
      <w:r w:rsidR="00772DDE">
        <w:rPr>
          <w:rFonts w:eastAsia="Times New Roman" w:cs="Arial"/>
          <w:color w:val="auto"/>
          <w:lang w:eastAsia="en-GB"/>
        </w:rPr>
        <w:t xml:space="preserve">Direct </w:t>
      </w:r>
      <w:r w:rsidR="00FE2932">
        <w:rPr>
          <w:rFonts w:eastAsia="Times New Roman" w:cs="Arial"/>
          <w:color w:val="auto"/>
          <w:lang w:eastAsia="en-GB"/>
        </w:rPr>
        <w:t>P</w:t>
      </w:r>
      <w:r w:rsidR="00772DDE">
        <w:rPr>
          <w:rFonts w:eastAsia="Times New Roman" w:cs="Arial"/>
          <w:color w:val="auto"/>
          <w:lang w:eastAsia="en-GB"/>
        </w:rPr>
        <w:t>ayments which are returned to the council</w:t>
      </w:r>
      <w:r w:rsidRPr="00F44005">
        <w:rPr>
          <w:rFonts w:eastAsia="Times New Roman" w:cs="Arial"/>
          <w:color w:val="auto"/>
          <w:lang w:eastAsia="en-GB"/>
        </w:rPr>
        <w:t xml:space="preserve"> due to self-isolation </w:t>
      </w:r>
      <w:r w:rsidR="00FE2932">
        <w:rPr>
          <w:rFonts w:eastAsia="Times New Roman" w:cs="Arial"/>
          <w:color w:val="auto"/>
          <w:lang w:eastAsia="en-GB"/>
        </w:rPr>
        <w:t>and/</w:t>
      </w:r>
      <w:r w:rsidRPr="00F44005">
        <w:rPr>
          <w:rFonts w:eastAsia="Times New Roman" w:cs="Arial"/>
          <w:color w:val="auto"/>
          <w:lang w:eastAsia="en-GB"/>
        </w:rPr>
        <w:t xml:space="preserve">or suspension of services during the Pandemic. </w:t>
      </w:r>
      <w:r w:rsidR="00B60F34">
        <w:rPr>
          <w:rFonts w:eastAsia="Times New Roman" w:cs="Arial"/>
          <w:color w:val="auto"/>
          <w:lang w:eastAsia="en-GB"/>
        </w:rPr>
        <w:t xml:space="preserve">  Returned Direct Payments for Older people and Serv</w:t>
      </w:r>
      <w:r w:rsidR="002674B0">
        <w:rPr>
          <w:rFonts w:eastAsia="Times New Roman" w:cs="Arial"/>
          <w:color w:val="auto"/>
          <w:lang w:eastAsia="en-GB"/>
        </w:rPr>
        <w:t>i</w:t>
      </w:r>
      <w:r w:rsidR="00B60F34">
        <w:rPr>
          <w:rFonts w:eastAsia="Times New Roman" w:cs="Arial"/>
          <w:color w:val="auto"/>
          <w:lang w:eastAsia="en-GB"/>
        </w:rPr>
        <w:t>ce Users with a Physical D</w:t>
      </w:r>
      <w:r w:rsidR="002674B0">
        <w:rPr>
          <w:rFonts w:eastAsia="Times New Roman" w:cs="Arial"/>
          <w:color w:val="auto"/>
          <w:lang w:eastAsia="en-GB"/>
        </w:rPr>
        <w:t>i</w:t>
      </w:r>
      <w:r w:rsidR="00B60F34">
        <w:rPr>
          <w:rFonts w:eastAsia="Times New Roman" w:cs="Arial"/>
          <w:color w:val="auto"/>
          <w:lang w:eastAsia="en-GB"/>
        </w:rPr>
        <w:t xml:space="preserve">sability </w:t>
      </w:r>
      <w:r w:rsidRPr="0099264D">
        <w:rPr>
          <w:rFonts w:eastAsia="Times New Roman" w:cs="Arial"/>
          <w:color w:val="auto"/>
          <w:lang w:eastAsia="en-GB"/>
        </w:rPr>
        <w:t>totalled £8.626m</w:t>
      </w:r>
      <w:r w:rsidR="002674B0">
        <w:rPr>
          <w:rFonts w:eastAsia="Times New Roman" w:cs="Arial"/>
          <w:color w:val="auto"/>
          <w:lang w:eastAsia="en-GB"/>
        </w:rPr>
        <w:t>.  This is</w:t>
      </w:r>
      <w:r w:rsidRPr="00F44005">
        <w:rPr>
          <w:rFonts w:eastAsia="Times New Roman" w:cs="Arial"/>
          <w:color w:val="auto"/>
          <w:lang w:eastAsia="en-GB"/>
        </w:rPr>
        <w:t xml:space="preserve"> an increase of £939,000 compared with Q3 forecast and an increase of £4.268m compared with </w:t>
      </w:r>
      <w:r w:rsidRPr="0099264D">
        <w:rPr>
          <w:rFonts w:eastAsia="Times New Roman" w:cs="Arial"/>
          <w:color w:val="auto"/>
          <w:lang w:eastAsia="en-GB"/>
        </w:rPr>
        <w:t>20</w:t>
      </w:r>
      <w:r w:rsidR="002674B0">
        <w:rPr>
          <w:rFonts w:eastAsia="Times New Roman" w:cs="Arial"/>
          <w:color w:val="auto"/>
          <w:lang w:eastAsia="en-GB"/>
        </w:rPr>
        <w:t>20/</w:t>
      </w:r>
      <w:r w:rsidRPr="00F44005">
        <w:rPr>
          <w:rFonts w:eastAsia="Times New Roman" w:cs="Arial"/>
          <w:color w:val="auto"/>
          <w:lang w:eastAsia="en-GB"/>
        </w:rPr>
        <w:t>21. </w:t>
      </w:r>
    </w:p>
    <w:p w14:paraId="2C58FA70" w14:textId="77777777" w:rsidR="004E04CB" w:rsidRPr="0099264D" w:rsidRDefault="004E04CB" w:rsidP="002674B0">
      <w:pPr>
        <w:autoSpaceDE/>
        <w:autoSpaceDN/>
        <w:adjustRightInd/>
        <w:spacing w:after="0"/>
        <w:textAlignment w:val="baseline"/>
        <w:rPr>
          <w:rFonts w:eastAsia="Times New Roman" w:cs="Arial"/>
          <w:lang w:eastAsia="en-GB"/>
        </w:rPr>
      </w:pPr>
    </w:p>
    <w:p w14:paraId="6C8C7220" w14:textId="77777777" w:rsidR="007B1436" w:rsidRPr="00B61F72" w:rsidRDefault="00162F2E" w:rsidP="00B61F72">
      <w:pPr>
        <w:autoSpaceDE/>
        <w:autoSpaceDN/>
        <w:adjustRightInd/>
        <w:spacing w:after="0"/>
        <w:textAlignment w:val="baseline"/>
        <w:rPr>
          <w:rFonts w:eastAsia="Times New Roman" w:cs="Arial"/>
          <w:lang w:eastAsia="en-GB"/>
        </w:rPr>
      </w:pPr>
      <w:r>
        <w:rPr>
          <w:rFonts w:eastAsia="Times New Roman" w:cs="Arial"/>
          <w:color w:val="auto"/>
          <w:lang w:eastAsia="en-GB"/>
        </w:rPr>
        <w:t xml:space="preserve">As above, </w:t>
      </w:r>
      <w:r w:rsidR="00FB55B5" w:rsidRPr="00F44005">
        <w:rPr>
          <w:rFonts w:eastAsia="Times New Roman" w:cs="Arial"/>
          <w:color w:val="auto"/>
          <w:lang w:eastAsia="en-GB"/>
        </w:rPr>
        <w:t xml:space="preserve">Service </w:t>
      </w:r>
      <w:r>
        <w:rPr>
          <w:rFonts w:eastAsia="Times New Roman" w:cs="Arial"/>
          <w:color w:val="auto"/>
          <w:lang w:eastAsia="en-GB"/>
        </w:rPr>
        <w:t>U</w:t>
      </w:r>
      <w:r w:rsidR="00FB55B5" w:rsidRPr="0099264D">
        <w:rPr>
          <w:rFonts w:eastAsia="Times New Roman" w:cs="Arial"/>
          <w:color w:val="auto"/>
          <w:lang w:eastAsia="en-GB"/>
        </w:rPr>
        <w:t>ser</w:t>
      </w:r>
      <w:r w:rsidR="00FB55B5" w:rsidRPr="00F44005">
        <w:rPr>
          <w:rFonts w:eastAsia="Times New Roman" w:cs="Arial"/>
          <w:color w:val="auto"/>
          <w:lang w:eastAsia="en-GB"/>
        </w:rPr>
        <w:t xml:space="preserve"> income benefited from the change in </w:t>
      </w:r>
      <w:r>
        <w:rPr>
          <w:rFonts w:eastAsia="Times New Roman" w:cs="Arial"/>
          <w:color w:val="auto"/>
          <w:lang w:eastAsia="en-GB"/>
        </w:rPr>
        <w:t>our Bad Debt Policy</w:t>
      </w:r>
      <w:r w:rsidR="00FB55B5" w:rsidRPr="00F44005">
        <w:rPr>
          <w:rFonts w:eastAsia="Times New Roman" w:cs="Arial"/>
          <w:color w:val="auto"/>
          <w:lang w:eastAsia="en-GB"/>
        </w:rPr>
        <w:t xml:space="preserve"> by </w:t>
      </w:r>
      <w:r>
        <w:rPr>
          <w:rFonts w:eastAsia="Times New Roman" w:cs="Arial"/>
          <w:color w:val="auto"/>
          <w:lang w:eastAsia="en-GB"/>
        </w:rPr>
        <w:t>circa.</w:t>
      </w:r>
      <w:r w:rsidR="00FB55B5" w:rsidRPr="00F44005">
        <w:rPr>
          <w:rFonts w:eastAsia="Times New Roman" w:cs="Arial"/>
          <w:color w:val="auto"/>
          <w:lang w:eastAsia="en-GB"/>
        </w:rPr>
        <w:t xml:space="preserve"> £260,000 in Q1. </w:t>
      </w:r>
    </w:p>
    <w:p w14:paraId="630334DA" w14:textId="77777777" w:rsidR="00FB55B5" w:rsidRPr="00FB55B5" w:rsidRDefault="00FB55B5" w:rsidP="00FB55B5">
      <w:pPr>
        <w:autoSpaceDE/>
        <w:autoSpaceDN/>
        <w:adjustRightInd/>
        <w:spacing w:after="0"/>
        <w:textAlignment w:val="baseline"/>
        <w:rPr>
          <w:rFonts w:ascii="Segoe UI" w:eastAsia="Times New Roman" w:hAnsi="Segoe UI" w:cs="Segoe UI"/>
          <w:color w:val="auto"/>
          <w:sz w:val="18"/>
          <w:szCs w:val="18"/>
          <w:lang w:eastAsia="en-GB"/>
        </w:rPr>
      </w:pPr>
    </w:p>
    <w:p w14:paraId="0D0F7986" w14:textId="77777777" w:rsidR="00FB55B5" w:rsidRDefault="00162F2E" w:rsidP="00FB55B5">
      <w:pPr>
        <w:autoSpaceDE/>
        <w:autoSpaceDN/>
        <w:adjustRightInd/>
        <w:spacing w:after="0"/>
        <w:textAlignment w:val="baseline"/>
        <w:rPr>
          <w:rFonts w:eastAsia="Times New Roman" w:cs="Arial"/>
          <w:b/>
          <w:color w:val="auto"/>
          <w:lang w:eastAsia="en-GB"/>
        </w:rPr>
      </w:pPr>
      <w:r w:rsidRPr="00B94E54">
        <w:rPr>
          <w:rFonts w:eastAsia="Times New Roman" w:cs="Arial"/>
          <w:b/>
          <w:bCs/>
          <w:color w:val="auto"/>
          <w:lang w:eastAsia="en-GB"/>
        </w:rPr>
        <w:t>Day Care –</w:t>
      </w:r>
      <w:r w:rsidR="004E04CB">
        <w:rPr>
          <w:rFonts w:eastAsia="Times New Roman" w:cs="Arial"/>
          <w:b/>
          <w:color w:val="auto"/>
          <w:lang w:eastAsia="en-GB"/>
        </w:rPr>
        <w:t xml:space="preserve"> U</w:t>
      </w:r>
      <w:r w:rsidRPr="00B94E54">
        <w:rPr>
          <w:rFonts w:eastAsia="Times New Roman" w:cs="Arial"/>
          <w:b/>
          <w:color w:val="auto"/>
          <w:lang w:eastAsia="en-GB"/>
        </w:rPr>
        <w:t>nderspend</w:t>
      </w:r>
      <w:r w:rsidRPr="00B94E54">
        <w:rPr>
          <w:rFonts w:eastAsia="Times New Roman" w:cs="Arial"/>
          <w:b/>
          <w:bCs/>
          <w:color w:val="auto"/>
          <w:lang w:eastAsia="en-GB"/>
        </w:rPr>
        <w:t xml:space="preserve"> £1.621m </w:t>
      </w:r>
    </w:p>
    <w:p w14:paraId="25B5B37E" w14:textId="77777777" w:rsidR="00363051" w:rsidRPr="00FB55B5" w:rsidRDefault="00363051" w:rsidP="00FB55B5">
      <w:pPr>
        <w:autoSpaceDE/>
        <w:autoSpaceDN/>
        <w:adjustRightInd/>
        <w:spacing w:after="0"/>
        <w:textAlignment w:val="baseline"/>
        <w:rPr>
          <w:rFonts w:ascii="Segoe UI" w:eastAsia="Times New Roman" w:hAnsi="Segoe UI" w:cs="Segoe UI"/>
          <w:color w:val="auto"/>
          <w:sz w:val="18"/>
          <w:szCs w:val="18"/>
          <w:lang w:eastAsia="en-GB"/>
        </w:rPr>
      </w:pPr>
    </w:p>
    <w:p w14:paraId="46B3A9E3" w14:textId="77777777" w:rsidR="00FB55B5" w:rsidRPr="00FB55B5" w:rsidRDefault="00162F2E" w:rsidP="00FB55B5">
      <w:pPr>
        <w:autoSpaceDE/>
        <w:autoSpaceDN/>
        <w:adjustRightInd/>
        <w:spacing w:after="0"/>
        <w:textAlignment w:val="baseline"/>
        <w:rPr>
          <w:rFonts w:ascii="Segoe UI" w:eastAsia="Times New Roman" w:hAnsi="Segoe UI" w:cs="Segoe UI"/>
          <w:color w:val="auto"/>
          <w:sz w:val="18"/>
          <w:szCs w:val="18"/>
          <w:lang w:eastAsia="en-GB"/>
        </w:rPr>
      </w:pPr>
      <w:r w:rsidRPr="00FB55B5">
        <w:rPr>
          <w:rFonts w:eastAsia="Times New Roman" w:cs="Arial"/>
          <w:color w:val="auto"/>
          <w:lang w:eastAsia="en-GB"/>
        </w:rPr>
        <w:t xml:space="preserve">Services at both </w:t>
      </w:r>
      <w:r w:rsidR="003968C0">
        <w:rPr>
          <w:rFonts w:eastAsia="Times New Roman" w:cs="Arial"/>
          <w:color w:val="auto"/>
          <w:lang w:eastAsia="en-GB"/>
        </w:rPr>
        <w:t>I</w:t>
      </w:r>
      <w:r w:rsidR="00D879FD">
        <w:rPr>
          <w:rFonts w:eastAsia="Times New Roman" w:cs="Arial"/>
          <w:color w:val="auto"/>
          <w:lang w:eastAsia="en-GB"/>
        </w:rPr>
        <w:t>n-House</w:t>
      </w:r>
      <w:r w:rsidRPr="00FB55B5">
        <w:rPr>
          <w:rFonts w:eastAsia="Times New Roman" w:cs="Arial"/>
          <w:color w:val="auto"/>
          <w:lang w:eastAsia="en-GB"/>
        </w:rPr>
        <w:t xml:space="preserve"> and external </w:t>
      </w:r>
      <w:r w:rsidR="00D879FD">
        <w:rPr>
          <w:rFonts w:eastAsia="Times New Roman" w:cs="Arial"/>
          <w:color w:val="auto"/>
          <w:lang w:eastAsia="en-GB"/>
        </w:rPr>
        <w:t>D</w:t>
      </w:r>
      <w:r w:rsidRPr="00FB55B5">
        <w:rPr>
          <w:rFonts w:eastAsia="Times New Roman" w:cs="Arial"/>
          <w:color w:val="auto"/>
          <w:lang w:eastAsia="en-GB"/>
        </w:rPr>
        <w:t xml:space="preserve">ay </w:t>
      </w:r>
      <w:r w:rsidR="00D879FD">
        <w:rPr>
          <w:rFonts w:eastAsia="Times New Roman" w:cs="Arial"/>
          <w:color w:val="auto"/>
          <w:lang w:eastAsia="en-GB"/>
        </w:rPr>
        <w:t>C</w:t>
      </w:r>
      <w:r w:rsidRPr="00FB55B5">
        <w:rPr>
          <w:rFonts w:eastAsia="Times New Roman" w:cs="Arial"/>
          <w:color w:val="auto"/>
          <w:lang w:eastAsia="en-GB"/>
        </w:rPr>
        <w:t xml:space="preserve">are </w:t>
      </w:r>
      <w:r w:rsidR="00D879FD">
        <w:rPr>
          <w:rFonts w:eastAsia="Times New Roman" w:cs="Arial"/>
          <w:color w:val="auto"/>
          <w:lang w:eastAsia="en-GB"/>
        </w:rPr>
        <w:t>C</w:t>
      </w:r>
      <w:r w:rsidRPr="00FB55B5">
        <w:rPr>
          <w:rFonts w:eastAsia="Times New Roman" w:cs="Arial"/>
          <w:color w:val="auto"/>
          <w:lang w:eastAsia="en-GB"/>
        </w:rPr>
        <w:t xml:space="preserve">entres have </w:t>
      </w:r>
      <w:r w:rsidRPr="552D6938">
        <w:rPr>
          <w:rFonts w:eastAsia="Times New Roman" w:cs="Arial"/>
          <w:color w:val="auto"/>
          <w:lang w:eastAsia="en-GB"/>
        </w:rPr>
        <w:t>been restricted due</w:t>
      </w:r>
      <w:r w:rsidRPr="00FB55B5">
        <w:rPr>
          <w:rFonts w:eastAsia="Times New Roman" w:cs="Arial"/>
          <w:color w:val="auto"/>
          <w:lang w:eastAsia="en-GB"/>
        </w:rPr>
        <w:t xml:space="preserve"> </w:t>
      </w:r>
      <w:r w:rsidRPr="552D6938">
        <w:rPr>
          <w:rFonts w:eastAsia="Times New Roman" w:cs="Arial"/>
          <w:color w:val="auto"/>
          <w:lang w:eastAsia="en-GB"/>
        </w:rPr>
        <w:t>to Covid</w:t>
      </w:r>
      <w:r w:rsidRPr="00FB55B5">
        <w:rPr>
          <w:rFonts w:eastAsia="Times New Roman" w:cs="Arial"/>
          <w:color w:val="auto"/>
          <w:lang w:eastAsia="en-GB"/>
        </w:rPr>
        <w:t>-19,</w:t>
      </w:r>
      <w:r w:rsidRPr="552D6938">
        <w:rPr>
          <w:rFonts w:eastAsia="Times New Roman" w:cs="Arial"/>
          <w:color w:val="auto"/>
          <w:lang w:eastAsia="en-GB"/>
        </w:rPr>
        <w:t> with</w:t>
      </w:r>
      <w:r w:rsidRPr="00FB55B5">
        <w:rPr>
          <w:rFonts w:eastAsia="Times New Roman" w:cs="Arial"/>
          <w:color w:val="auto"/>
          <w:lang w:eastAsia="en-GB"/>
        </w:rPr>
        <w:t xml:space="preserve"> those </w:t>
      </w:r>
      <w:r w:rsidRPr="552D6938">
        <w:rPr>
          <w:rFonts w:eastAsia="Times New Roman" w:cs="Arial"/>
          <w:color w:val="auto"/>
          <w:lang w:eastAsia="en-GB"/>
        </w:rPr>
        <w:t>centres remaining</w:t>
      </w:r>
      <w:r w:rsidRPr="00FB55B5">
        <w:rPr>
          <w:rFonts w:eastAsia="Times New Roman" w:cs="Arial"/>
          <w:color w:val="auto"/>
          <w:lang w:eastAsia="en-GB"/>
        </w:rPr>
        <w:t xml:space="preserve"> open </w:t>
      </w:r>
      <w:r w:rsidRPr="552D6938">
        <w:rPr>
          <w:rFonts w:eastAsia="Times New Roman" w:cs="Arial"/>
          <w:color w:val="auto"/>
          <w:lang w:eastAsia="en-GB"/>
        </w:rPr>
        <w:t>having a</w:t>
      </w:r>
      <w:r w:rsidRPr="00FB55B5">
        <w:rPr>
          <w:rFonts w:eastAsia="Times New Roman" w:cs="Arial"/>
          <w:color w:val="auto"/>
          <w:lang w:eastAsia="en-GB"/>
        </w:rPr>
        <w:t xml:space="preserve"> significantly reduced capacity.</w:t>
      </w:r>
      <w:r w:rsidRPr="552D6938">
        <w:rPr>
          <w:rFonts w:eastAsia="Times New Roman" w:cs="Arial"/>
          <w:color w:val="auto"/>
          <w:lang w:eastAsia="en-GB"/>
        </w:rPr>
        <w:t> The</w:t>
      </w:r>
      <w:r w:rsidRPr="00FB55B5">
        <w:rPr>
          <w:rFonts w:eastAsia="Times New Roman" w:cs="Arial"/>
          <w:color w:val="auto"/>
          <w:lang w:eastAsia="en-GB"/>
        </w:rPr>
        <w:t xml:space="preserve"> underspend mainly relates to </w:t>
      </w:r>
      <w:r w:rsidR="00EE7BEF">
        <w:rPr>
          <w:rFonts w:eastAsia="Times New Roman" w:cs="Arial"/>
          <w:color w:val="auto"/>
          <w:lang w:eastAsia="en-GB"/>
        </w:rPr>
        <w:t>In-House</w:t>
      </w:r>
      <w:r w:rsidRPr="00FB55B5">
        <w:rPr>
          <w:rFonts w:eastAsia="Times New Roman" w:cs="Arial"/>
          <w:color w:val="auto"/>
          <w:lang w:eastAsia="en-GB"/>
        </w:rPr>
        <w:t xml:space="preserve"> services </w:t>
      </w:r>
      <w:r w:rsidR="00EE7BEF">
        <w:rPr>
          <w:rFonts w:eastAsia="Times New Roman" w:cs="Arial"/>
          <w:color w:val="auto"/>
          <w:lang w:eastAsia="en-GB"/>
        </w:rPr>
        <w:t>with</w:t>
      </w:r>
      <w:r w:rsidRPr="00FB55B5">
        <w:rPr>
          <w:rFonts w:eastAsia="Times New Roman" w:cs="Arial"/>
          <w:color w:val="auto"/>
          <w:lang w:eastAsia="en-GB"/>
        </w:rPr>
        <w:t xml:space="preserve"> a corresponding overspend in the Residential and Day Care Services for Older People service</w:t>
      </w:r>
      <w:r w:rsidR="003968C0">
        <w:rPr>
          <w:rFonts w:eastAsia="Times New Roman" w:cs="Arial"/>
          <w:color w:val="auto"/>
          <w:lang w:eastAsia="en-GB"/>
        </w:rPr>
        <w:t>.</w:t>
      </w:r>
    </w:p>
    <w:p w14:paraId="75893D62" w14:textId="77777777" w:rsidR="00FB55B5" w:rsidRDefault="00162F2E" w:rsidP="00FB55B5">
      <w:pPr>
        <w:autoSpaceDE/>
        <w:autoSpaceDN/>
        <w:adjustRightInd/>
        <w:spacing w:after="0"/>
        <w:textAlignment w:val="baseline"/>
        <w:rPr>
          <w:rFonts w:eastAsia="Times New Roman" w:cs="Arial"/>
          <w:color w:val="auto"/>
          <w:lang w:eastAsia="en-GB"/>
        </w:rPr>
      </w:pPr>
      <w:r w:rsidRPr="552D6938">
        <w:rPr>
          <w:rFonts w:eastAsia="Times New Roman" w:cs="Arial"/>
          <w:color w:val="auto"/>
          <w:lang w:eastAsia="en-GB"/>
        </w:rPr>
        <w:t> </w:t>
      </w:r>
    </w:p>
    <w:p w14:paraId="2D04C33A" w14:textId="77777777" w:rsidR="00D10794" w:rsidRDefault="00162F2E" w:rsidP="00D10794">
      <w:pPr>
        <w:spacing w:after="0"/>
        <w:rPr>
          <w:rFonts w:cs="Arial"/>
          <w:b/>
        </w:rPr>
      </w:pPr>
      <w:r w:rsidRPr="00B94E54">
        <w:rPr>
          <w:rFonts w:cs="Arial"/>
          <w:b/>
          <w:bCs/>
        </w:rPr>
        <w:t>Staffing</w:t>
      </w:r>
      <w:r w:rsidR="000B0355">
        <w:rPr>
          <w:rFonts w:cs="Arial"/>
          <w:b/>
        </w:rPr>
        <w:t xml:space="preserve"> Costs </w:t>
      </w:r>
      <w:r w:rsidR="00744843" w:rsidRPr="00B94E54">
        <w:rPr>
          <w:rFonts w:cs="Arial"/>
          <w:b/>
        </w:rPr>
        <w:t xml:space="preserve">- </w:t>
      </w:r>
      <w:r w:rsidR="000B0355">
        <w:rPr>
          <w:rFonts w:cs="Arial"/>
          <w:b/>
        </w:rPr>
        <w:t>U</w:t>
      </w:r>
      <w:r w:rsidR="00744843" w:rsidRPr="00B94E54">
        <w:rPr>
          <w:rFonts w:cs="Arial"/>
          <w:b/>
        </w:rPr>
        <w:t>nderspend</w:t>
      </w:r>
      <w:r w:rsidR="00744843" w:rsidRPr="00B94E54">
        <w:rPr>
          <w:rFonts w:cs="Arial"/>
          <w:b/>
          <w:bCs/>
        </w:rPr>
        <w:t xml:space="preserve"> of £0.184m</w:t>
      </w:r>
    </w:p>
    <w:p w14:paraId="2AC24DD5" w14:textId="77777777" w:rsidR="000B0355" w:rsidRPr="00B94E54" w:rsidRDefault="000B0355" w:rsidP="00D10794">
      <w:pPr>
        <w:spacing w:after="0"/>
        <w:rPr>
          <w:rFonts w:cs="Arial"/>
          <w:b/>
          <w:highlight w:val="yellow"/>
        </w:rPr>
      </w:pPr>
    </w:p>
    <w:p w14:paraId="7B309BF9" w14:textId="77777777" w:rsidR="00D10794" w:rsidRPr="00812801" w:rsidRDefault="00162F2E" w:rsidP="00D10794">
      <w:pPr>
        <w:spacing w:after="0"/>
        <w:rPr>
          <w:rFonts w:cs="Arial"/>
        </w:rPr>
      </w:pPr>
      <w:r>
        <w:rPr>
          <w:rStyle w:val="normaltextrun"/>
          <w:rFonts w:cs="Arial"/>
          <w:shd w:val="clear" w:color="auto" w:fill="FFFFFF"/>
        </w:rPr>
        <w:t xml:space="preserve">Gross spend on staff and agency costs amounts to around £27m with some of the spend funded from </w:t>
      </w:r>
      <w:r w:rsidR="007320EB">
        <w:rPr>
          <w:rStyle w:val="normaltextrun"/>
          <w:rFonts w:cs="Arial"/>
          <w:shd w:val="clear" w:color="auto" w:fill="FFFFFF"/>
        </w:rPr>
        <w:t xml:space="preserve">the </w:t>
      </w:r>
      <w:r>
        <w:rPr>
          <w:rStyle w:val="normaltextrun"/>
          <w:rFonts w:cs="Arial"/>
          <w:shd w:val="clear" w:color="auto" w:fill="FFFFFF"/>
        </w:rPr>
        <w:t xml:space="preserve">Better Care Fund </w:t>
      </w:r>
      <w:r w:rsidR="00AB3982">
        <w:rPr>
          <w:rStyle w:val="normaltextrun"/>
          <w:rFonts w:cs="Arial"/>
          <w:shd w:val="clear" w:color="auto" w:fill="FFFFFF"/>
        </w:rPr>
        <w:t xml:space="preserve">(BCF) </w:t>
      </w:r>
      <w:r>
        <w:rPr>
          <w:rStyle w:val="normaltextrun"/>
          <w:rFonts w:cs="Arial"/>
          <w:shd w:val="clear" w:color="auto" w:fill="FFFFFF"/>
        </w:rPr>
        <w:t xml:space="preserve">and </w:t>
      </w:r>
      <w:r w:rsidR="007320EB">
        <w:rPr>
          <w:rStyle w:val="normaltextrun"/>
          <w:rFonts w:cs="Arial"/>
          <w:shd w:val="clear" w:color="auto" w:fill="FFFFFF"/>
        </w:rPr>
        <w:t>iBCF</w:t>
      </w:r>
      <w:r>
        <w:rPr>
          <w:rStyle w:val="normaltextrun"/>
          <w:rFonts w:cs="Arial"/>
          <w:shd w:val="clear" w:color="auto" w:fill="FFFFFF"/>
        </w:rPr>
        <w:t xml:space="preserve"> (including winter </w:t>
      </w:r>
      <w:r>
        <w:rPr>
          <w:rStyle w:val="normaltextrun"/>
          <w:rFonts w:cs="Arial"/>
          <w:shd w:val="clear" w:color="auto" w:fill="FFFFFF"/>
        </w:rPr>
        <w:lastRenderedPageBreak/>
        <w:t xml:space="preserve">pressures funding) as well as Health funding for specific posts. This budget area also includes spend on other related staff costs such as car allowances and travel costs. There has been a substantial increase in agency costs this year, in terms of staff numbers and hourly rates. Funding from </w:t>
      </w:r>
      <w:r w:rsidR="002D49D4">
        <w:rPr>
          <w:rStyle w:val="normaltextrun"/>
          <w:rFonts w:cs="Arial"/>
          <w:shd w:val="clear" w:color="auto" w:fill="FFFFFF"/>
        </w:rPr>
        <w:t>the Contain Outbreak Management Fund</w:t>
      </w:r>
      <w:r w:rsidR="00C600FD">
        <w:rPr>
          <w:rStyle w:val="normaltextrun"/>
          <w:rFonts w:cs="Arial"/>
          <w:shd w:val="clear" w:color="auto" w:fill="FFFFFF"/>
        </w:rPr>
        <w:t xml:space="preserve"> (</w:t>
      </w:r>
      <w:r>
        <w:rPr>
          <w:rStyle w:val="normaltextrun"/>
          <w:rFonts w:cs="Arial"/>
          <w:shd w:val="clear" w:color="auto" w:fill="FFFFFF"/>
        </w:rPr>
        <w:t>COMF</w:t>
      </w:r>
      <w:r w:rsidR="00C600FD">
        <w:rPr>
          <w:rStyle w:val="normaltextrun"/>
          <w:rFonts w:cs="Arial"/>
          <w:shd w:val="clear" w:color="auto" w:fill="FFFFFF"/>
        </w:rPr>
        <w:t>)</w:t>
      </w:r>
      <w:r>
        <w:rPr>
          <w:rStyle w:val="normaltextrun"/>
          <w:rFonts w:cs="Arial"/>
          <w:shd w:val="clear" w:color="auto" w:fill="FFFFFF"/>
        </w:rPr>
        <w:t xml:space="preserve"> and </w:t>
      </w:r>
      <w:r w:rsidR="00C600FD">
        <w:rPr>
          <w:rStyle w:val="normaltextrun"/>
          <w:rFonts w:cs="Arial"/>
          <w:shd w:val="clear" w:color="auto" w:fill="FFFFFF"/>
        </w:rPr>
        <w:t>COVID</w:t>
      </w:r>
      <w:r>
        <w:rPr>
          <w:rStyle w:val="normaltextrun"/>
          <w:rFonts w:cs="Arial"/>
          <w:shd w:val="clear" w:color="auto" w:fill="FFFFFF"/>
        </w:rPr>
        <w:t xml:space="preserve"> Workforce grants has been applied to cover additional pandemic related pressures experienced by the service</w:t>
      </w:r>
      <w:r w:rsidR="00C600FD">
        <w:rPr>
          <w:rStyle w:val="normaltextrun"/>
          <w:rFonts w:cs="Arial"/>
          <w:shd w:val="clear" w:color="auto" w:fill="FFFFFF"/>
        </w:rPr>
        <w:t>.</w:t>
      </w:r>
      <w:r>
        <w:rPr>
          <w:rStyle w:val="eop"/>
          <w:shd w:val="clear" w:color="auto" w:fill="FFFFFF"/>
        </w:rPr>
        <w:t> </w:t>
      </w:r>
      <w:r w:rsidRPr="2ADE0270">
        <w:rPr>
          <w:rFonts w:cs="Arial"/>
        </w:rPr>
        <w:t xml:space="preserve"> </w:t>
      </w:r>
    </w:p>
    <w:p w14:paraId="12DC971F" w14:textId="77777777" w:rsidR="00D10794" w:rsidRPr="00812801" w:rsidRDefault="00D10794" w:rsidP="00D10794">
      <w:pPr>
        <w:spacing w:after="0"/>
        <w:rPr>
          <w:rFonts w:cs="Arial"/>
          <w:highlight w:val="yellow"/>
        </w:rPr>
      </w:pPr>
    </w:p>
    <w:p w14:paraId="339E36E3" w14:textId="77777777" w:rsidR="00BF025F" w:rsidRDefault="00162F2E" w:rsidP="0022125B">
      <w:pPr>
        <w:pStyle w:val="paragraph"/>
        <w:spacing w:before="0" w:beforeAutospacing="0" w:after="0" w:afterAutospacing="0"/>
        <w:jc w:val="both"/>
        <w:textAlignment w:val="baseline"/>
        <w:rPr>
          <w:rStyle w:val="eop"/>
          <w:rFonts w:ascii="Arial" w:hAnsi="Arial" w:cs="Arial"/>
          <w:b/>
        </w:rPr>
      </w:pPr>
      <w:r w:rsidRPr="00B94E54">
        <w:rPr>
          <w:rStyle w:val="normaltextrun"/>
          <w:rFonts w:ascii="Arial" w:hAnsi="Arial"/>
          <w:b/>
          <w:iCs/>
          <w:color w:val="000000" w:themeColor="text1"/>
        </w:rPr>
        <w:t xml:space="preserve">Prevention – </w:t>
      </w:r>
      <w:r w:rsidRPr="00B94E54">
        <w:rPr>
          <w:rStyle w:val="normaltextrun"/>
          <w:rFonts w:ascii="Arial" w:hAnsi="Arial"/>
          <w:b/>
          <w:bCs/>
          <w:iCs/>
        </w:rPr>
        <w:t>Underspend £1.038m</w:t>
      </w:r>
      <w:r w:rsidRPr="00B94E54">
        <w:rPr>
          <w:rStyle w:val="eop"/>
          <w:rFonts w:ascii="Arial" w:hAnsi="Arial" w:cs="Arial"/>
          <w:b/>
          <w:bCs/>
          <w:iCs/>
        </w:rPr>
        <w:t> </w:t>
      </w:r>
    </w:p>
    <w:p w14:paraId="57AC65E6" w14:textId="77777777" w:rsidR="00C600FD" w:rsidRDefault="00C600FD" w:rsidP="0022125B">
      <w:pPr>
        <w:pStyle w:val="paragraph"/>
        <w:spacing w:before="0" w:beforeAutospacing="0" w:after="0" w:afterAutospacing="0"/>
        <w:jc w:val="both"/>
        <w:textAlignment w:val="baseline"/>
        <w:rPr>
          <w:rStyle w:val="normaltextrun"/>
          <w:rFonts w:ascii="Arial" w:hAnsi="Arial"/>
        </w:rPr>
      </w:pPr>
    </w:p>
    <w:p w14:paraId="0BCE14AE" w14:textId="77777777" w:rsidR="0022125B" w:rsidRDefault="00162F2E" w:rsidP="0022125B">
      <w:pPr>
        <w:pStyle w:val="paragraph"/>
        <w:spacing w:before="0" w:beforeAutospacing="0" w:after="0" w:afterAutospacing="0"/>
        <w:jc w:val="both"/>
        <w:textAlignment w:val="baseline"/>
        <w:rPr>
          <w:rStyle w:val="eop"/>
          <w:rFonts w:ascii="Arial" w:hAnsi="Arial" w:cs="Arial"/>
        </w:rPr>
      </w:pPr>
      <w:r>
        <w:rPr>
          <w:rStyle w:val="normaltextrun"/>
          <w:rFonts w:ascii="Arial" w:hAnsi="Arial"/>
        </w:rPr>
        <w:t xml:space="preserve">The total net budget for preventative services including reablement and </w:t>
      </w:r>
      <w:r w:rsidR="007132D0">
        <w:rPr>
          <w:rStyle w:val="normaltextrun"/>
          <w:rFonts w:ascii="Arial" w:hAnsi="Arial"/>
        </w:rPr>
        <w:t>for</w:t>
      </w:r>
      <w:r>
        <w:rPr>
          <w:rStyle w:val="normaltextrun"/>
          <w:rFonts w:ascii="Arial" w:hAnsi="Arial"/>
        </w:rPr>
        <w:t xml:space="preserve"> equipment and carer's services</w:t>
      </w:r>
      <w:r w:rsidR="007132D0">
        <w:rPr>
          <w:rStyle w:val="normaltextrun"/>
          <w:rFonts w:ascii="Arial" w:hAnsi="Arial"/>
        </w:rPr>
        <w:t>,</w:t>
      </w:r>
      <w:r>
        <w:rPr>
          <w:rStyle w:val="normaltextrun"/>
          <w:rFonts w:ascii="Arial" w:hAnsi="Arial"/>
        </w:rPr>
        <w:t xml:space="preserve"> is £4.352m and mainly funded by </w:t>
      </w:r>
      <w:r w:rsidR="007132D0">
        <w:rPr>
          <w:rStyle w:val="normaltextrun"/>
          <w:rFonts w:ascii="Arial" w:hAnsi="Arial"/>
        </w:rPr>
        <w:t xml:space="preserve">the </w:t>
      </w:r>
      <w:r>
        <w:rPr>
          <w:rStyle w:val="normaltextrun"/>
          <w:rFonts w:ascii="Arial" w:hAnsi="Arial"/>
        </w:rPr>
        <w:t xml:space="preserve">Better Care Fund </w:t>
      </w:r>
      <w:r w:rsidR="00993EEE">
        <w:rPr>
          <w:rStyle w:val="normaltextrun"/>
          <w:rFonts w:ascii="Arial" w:hAnsi="Arial"/>
        </w:rPr>
        <w:t xml:space="preserve">(BCF) </w:t>
      </w:r>
      <w:r>
        <w:rPr>
          <w:rStyle w:val="normaltextrun"/>
          <w:rFonts w:ascii="Arial" w:hAnsi="Arial"/>
        </w:rPr>
        <w:t xml:space="preserve">and </w:t>
      </w:r>
      <w:r w:rsidR="007132D0">
        <w:rPr>
          <w:rStyle w:val="normaltextrun"/>
          <w:rFonts w:ascii="Arial" w:hAnsi="Arial"/>
        </w:rPr>
        <w:t>iBCF</w:t>
      </w:r>
      <w:r>
        <w:rPr>
          <w:rStyle w:val="normaltextrun"/>
          <w:rFonts w:ascii="Arial" w:hAnsi="Arial"/>
        </w:rPr>
        <w:t>. </w:t>
      </w:r>
      <w:r>
        <w:rPr>
          <w:rStyle w:val="eop"/>
          <w:rFonts w:ascii="Arial" w:hAnsi="Arial" w:cs="Arial"/>
        </w:rPr>
        <w:t> </w:t>
      </w:r>
    </w:p>
    <w:p w14:paraId="7BFC0ECE" w14:textId="77777777" w:rsidR="0022125B" w:rsidRDefault="0022125B" w:rsidP="0022125B">
      <w:pPr>
        <w:pStyle w:val="paragraph"/>
        <w:spacing w:before="0" w:beforeAutospacing="0" w:after="0" w:afterAutospacing="0"/>
        <w:jc w:val="both"/>
        <w:textAlignment w:val="baseline"/>
        <w:rPr>
          <w:rStyle w:val="eop"/>
          <w:rFonts w:ascii="Arial" w:hAnsi="Arial" w:cs="Arial"/>
        </w:rPr>
      </w:pPr>
    </w:p>
    <w:p w14:paraId="0FD0EC80" w14:textId="77777777" w:rsidR="0022125B" w:rsidRDefault="00162F2E" w:rsidP="0022125B">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color w:val="000000"/>
          <w:shd w:val="clear" w:color="auto" w:fill="FFFFFF"/>
        </w:rPr>
        <w:t>The major area of underspend was the Carer's Service, with an underspend of £</w:t>
      </w:r>
      <w:r w:rsidR="00943F89">
        <w:rPr>
          <w:rStyle w:val="normaltextrun"/>
          <w:rFonts w:ascii="Arial" w:hAnsi="Arial" w:cs="Arial"/>
          <w:color w:val="000000"/>
          <w:shd w:val="clear" w:color="auto" w:fill="FFFFFF"/>
        </w:rPr>
        <w:t>0.</w:t>
      </w:r>
      <w:r>
        <w:rPr>
          <w:rStyle w:val="normaltextrun"/>
          <w:rFonts w:ascii="Arial" w:hAnsi="Arial" w:cs="Arial"/>
          <w:color w:val="000000"/>
          <w:shd w:val="clear" w:color="auto" w:fill="FFFFFF"/>
        </w:rPr>
        <w:t>596m across both Carer's Direct Payments (£</w:t>
      </w:r>
      <w:r w:rsidR="00943F89">
        <w:rPr>
          <w:rStyle w:val="normaltextrun"/>
          <w:rFonts w:ascii="Arial" w:hAnsi="Arial" w:cs="Arial"/>
          <w:color w:val="000000"/>
          <w:shd w:val="clear" w:color="auto" w:fill="FFFFFF"/>
        </w:rPr>
        <w:t>0.</w:t>
      </w:r>
      <w:r>
        <w:rPr>
          <w:rStyle w:val="normaltextrun"/>
          <w:rFonts w:ascii="Arial" w:hAnsi="Arial" w:cs="Arial"/>
          <w:color w:val="000000"/>
          <w:shd w:val="clear" w:color="auto" w:fill="FFFFFF"/>
        </w:rPr>
        <w:t>308</w:t>
      </w:r>
      <w:r w:rsidR="004D45E6">
        <w:rPr>
          <w:rStyle w:val="normaltextrun"/>
          <w:rFonts w:ascii="Arial" w:hAnsi="Arial" w:cs="Arial"/>
          <w:color w:val="000000"/>
          <w:shd w:val="clear" w:color="auto" w:fill="FFFFFF"/>
        </w:rPr>
        <w:t>m</w:t>
      </w:r>
      <w:r>
        <w:rPr>
          <w:rStyle w:val="normaltextrun"/>
          <w:rFonts w:ascii="Arial" w:hAnsi="Arial" w:cs="Arial"/>
          <w:color w:val="000000"/>
          <w:shd w:val="clear" w:color="auto" w:fill="FFFFFF"/>
        </w:rPr>
        <w:t xml:space="preserve"> underspent) and the Carer's Core Contract (£</w:t>
      </w:r>
      <w:r w:rsidR="004D45E6">
        <w:rPr>
          <w:rStyle w:val="normaltextrun"/>
          <w:rFonts w:ascii="Arial" w:hAnsi="Arial" w:cs="Arial"/>
          <w:color w:val="000000"/>
          <w:shd w:val="clear" w:color="auto" w:fill="FFFFFF"/>
        </w:rPr>
        <w:t>0.</w:t>
      </w:r>
      <w:r>
        <w:rPr>
          <w:rStyle w:val="normaltextrun"/>
          <w:rFonts w:ascii="Arial" w:hAnsi="Arial" w:cs="Arial"/>
          <w:color w:val="000000"/>
          <w:shd w:val="clear" w:color="auto" w:fill="FFFFFF"/>
        </w:rPr>
        <w:t>283</w:t>
      </w:r>
      <w:r w:rsidR="004D45E6">
        <w:rPr>
          <w:rStyle w:val="normaltextrun"/>
          <w:rFonts w:ascii="Arial" w:hAnsi="Arial" w:cs="Arial"/>
          <w:color w:val="000000"/>
          <w:shd w:val="clear" w:color="auto" w:fill="FFFFFF"/>
        </w:rPr>
        <w:t>m</w:t>
      </w:r>
      <w:r>
        <w:rPr>
          <w:rStyle w:val="normaltextrun"/>
          <w:rFonts w:ascii="Arial" w:hAnsi="Arial" w:cs="Arial"/>
          <w:color w:val="000000"/>
          <w:shd w:val="clear" w:color="auto" w:fill="FFFFFF"/>
        </w:rPr>
        <w:t xml:space="preserve"> underspent)</w:t>
      </w:r>
      <w:r w:rsidR="007132D0">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w:t>
      </w:r>
      <w:r>
        <w:rPr>
          <w:rStyle w:val="eop"/>
          <w:rFonts w:ascii="Arial" w:hAnsi="Arial"/>
          <w:color w:val="000000"/>
          <w:shd w:val="clear" w:color="auto" w:fill="FFFFFF"/>
        </w:rPr>
        <w:t> </w:t>
      </w:r>
    </w:p>
    <w:p w14:paraId="5D0DA11F" w14:textId="77777777" w:rsidR="0022125B" w:rsidRDefault="0022125B" w:rsidP="0022125B">
      <w:pPr>
        <w:pStyle w:val="paragraph"/>
        <w:spacing w:before="0" w:beforeAutospacing="0" w:after="0" w:afterAutospacing="0"/>
        <w:jc w:val="both"/>
        <w:textAlignment w:val="baseline"/>
        <w:rPr>
          <w:rFonts w:ascii="Segoe UI" w:hAnsi="Segoe UI" w:cs="Segoe UI"/>
          <w:sz w:val="18"/>
          <w:szCs w:val="18"/>
        </w:rPr>
      </w:pPr>
    </w:p>
    <w:p w14:paraId="6EEB0C0F" w14:textId="77777777" w:rsidR="00D10794" w:rsidRPr="00B94E54" w:rsidRDefault="00162F2E" w:rsidP="00D10794">
      <w:pPr>
        <w:spacing w:after="0"/>
        <w:rPr>
          <w:rFonts w:cs="Arial"/>
          <w:b/>
          <w:bCs/>
          <w:iCs/>
          <w:color w:val="auto"/>
        </w:rPr>
      </w:pPr>
      <w:r w:rsidRPr="00B94E54">
        <w:rPr>
          <w:rFonts w:cs="Arial"/>
          <w:b/>
          <w:bCs/>
          <w:iCs/>
          <w:color w:val="auto"/>
        </w:rPr>
        <w:t>Central Services</w:t>
      </w:r>
      <w:r w:rsidR="005E0FBA" w:rsidRPr="00B94E54">
        <w:rPr>
          <w:rFonts w:cs="Arial"/>
          <w:b/>
          <w:bCs/>
          <w:iCs/>
          <w:color w:val="auto"/>
        </w:rPr>
        <w:t xml:space="preserve"> -</w:t>
      </w:r>
      <w:r w:rsidR="007132D0">
        <w:rPr>
          <w:rFonts w:cs="Arial"/>
          <w:b/>
          <w:color w:val="auto"/>
        </w:rPr>
        <w:t xml:space="preserve"> U</w:t>
      </w:r>
      <w:r w:rsidR="005E0FBA" w:rsidRPr="00B94E54">
        <w:rPr>
          <w:rFonts w:cs="Arial"/>
          <w:b/>
          <w:color w:val="auto"/>
        </w:rPr>
        <w:t>nderspend</w:t>
      </w:r>
      <w:r w:rsidR="005E0FBA" w:rsidRPr="00B94E54">
        <w:rPr>
          <w:rFonts w:cs="Arial"/>
          <w:b/>
          <w:bCs/>
          <w:iCs/>
          <w:color w:val="auto"/>
        </w:rPr>
        <w:t xml:space="preserve"> of £</w:t>
      </w:r>
      <w:r w:rsidR="00CD6A79" w:rsidRPr="00B94E54">
        <w:rPr>
          <w:rFonts w:cs="Arial"/>
          <w:b/>
          <w:bCs/>
          <w:iCs/>
          <w:color w:val="auto"/>
        </w:rPr>
        <w:t>0.758m</w:t>
      </w:r>
      <w:r w:rsidRPr="00B94E54">
        <w:rPr>
          <w:rFonts w:cs="Arial"/>
          <w:b/>
          <w:bCs/>
          <w:iCs/>
          <w:color w:val="auto"/>
        </w:rPr>
        <w:t xml:space="preserve"> </w:t>
      </w:r>
    </w:p>
    <w:p w14:paraId="4A3A8792" w14:textId="77777777" w:rsidR="00D10794" w:rsidRPr="00E00F98" w:rsidRDefault="00D10794" w:rsidP="00D10794">
      <w:pPr>
        <w:spacing w:after="0"/>
        <w:rPr>
          <w:rFonts w:cs="Arial"/>
          <w:b/>
          <w:bCs/>
          <w:i/>
          <w:color w:val="auto"/>
        </w:rPr>
      </w:pPr>
    </w:p>
    <w:p w14:paraId="426FCA13" w14:textId="77777777" w:rsidR="00C12E36" w:rsidRPr="00812801" w:rsidRDefault="00162F2E" w:rsidP="00D10794">
      <w:pPr>
        <w:spacing w:after="0"/>
        <w:rPr>
          <w:rFonts w:cs="Arial"/>
          <w:highlight w:val="yellow"/>
        </w:rPr>
      </w:pPr>
      <w:r w:rsidRPr="00E00F98">
        <w:rPr>
          <w:rFonts w:cs="Arial"/>
          <w:iCs/>
          <w:color w:val="auto"/>
        </w:rPr>
        <w:t xml:space="preserve">This section of the budget contains budgets that support the directorate such as grant income, insurance recharges and a small amount of support contracts. </w:t>
      </w:r>
      <w:r w:rsidR="00E00F98" w:rsidRPr="00E00F98">
        <w:rPr>
          <w:rStyle w:val="normaltextrun"/>
          <w:rFonts w:cs="Arial"/>
          <w:shd w:val="clear" w:color="auto" w:fill="FFFFFF"/>
        </w:rPr>
        <w:t>The</w:t>
      </w:r>
      <w:r w:rsidR="00E00F98">
        <w:rPr>
          <w:rStyle w:val="normaltextrun"/>
          <w:rFonts w:cs="Arial"/>
          <w:shd w:val="clear" w:color="auto" w:fill="FFFFFF"/>
        </w:rPr>
        <w:t xml:space="preserve"> underspend largely relates to unapplied grant balances which </w:t>
      </w:r>
      <w:r w:rsidR="001646E3">
        <w:rPr>
          <w:rStyle w:val="normaltextrun"/>
          <w:rFonts w:cs="Arial"/>
          <w:shd w:val="clear" w:color="auto" w:fill="FFFFFF"/>
        </w:rPr>
        <w:t>off</w:t>
      </w:r>
      <w:r w:rsidR="00C2120E">
        <w:rPr>
          <w:rStyle w:val="normaltextrun"/>
          <w:rFonts w:cs="Arial"/>
          <w:shd w:val="clear" w:color="auto" w:fill="FFFFFF"/>
        </w:rPr>
        <w:t>-</w:t>
      </w:r>
      <w:r w:rsidR="001646E3">
        <w:rPr>
          <w:rStyle w:val="normaltextrun"/>
          <w:rFonts w:cs="Arial"/>
          <w:shd w:val="clear" w:color="auto" w:fill="FFFFFF"/>
        </w:rPr>
        <w:t>set expenditure across</w:t>
      </w:r>
      <w:r w:rsidR="00E00F98">
        <w:rPr>
          <w:rStyle w:val="normaltextrun"/>
          <w:rFonts w:cs="Arial"/>
          <w:shd w:val="clear" w:color="auto" w:fill="FFFFFF"/>
        </w:rPr>
        <w:t xml:space="preserve"> the </w:t>
      </w:r>
      <w:r w:rsidR="00B4799E">
        <w:rPr>
          <w:rStyle w:val="normaltextrun"/>
          <w:rFonts w:cs="Arial"/>
          <w:shd w:val="clear" w:color="auto" w:fill="FFFFFF"/>
        </w:rPr>
        <w:t>whole</w:t>
      </w:r>
      <w:bookmarkEnd w:id="0"/>
      <w:r w:rsidR="001646E3">
        <w:rPr>
          <w:rStyle w:val="normaltextrun"/>
          <w:rFonts w:cs="Arial"/>
          <w:shd w:val="clear" w:color="auto" w:fill="FFFFFF"/>
        </w:rPr>
        <w:t xml:space="preserve"> of Adult Social </w:t>
      </w:r>
      <w:r w:rsidR="007C4683">
        <w:rPr>
          <w:rStyle w:val="normaltextrun"/>
          <w:rFonts w:cs="Arial"/>
          <w:shd w:val="clear" w:color="auto" w:fill="FFFFFF"/>
        </w:rPr>
        <w:t>care services.</w:t>
      </w:r>
    </w:p>
    <w:p w14:paraId="2BF4316A" w14:textId="77777777" w:rsidR="00C2120E" w:rsidRPr="00812801" w:rsidRDefault="00C2120E" w:rsidP="00D10794">
      <w:pPr>
        <w:spacing w:after="0"/>
        <w:rPr>
          <w:rFonts w:cs="Arial"/>
          <w:highlight w:val="yellow"/>
        </w:rPr>
      </w:pPr>
    </w:p>
    <w:p w14:paraId="52186C59" w14:textId="77777777" w:rsidR="00151DED" w:rsidRDefault="00162F2E" w:rsidP="00151DED">
      <w:pPr>
        <w:spacing w:after="0"/>
        <w:rPr>
          <w:rFonts w:cs="Arial"/>
          <w:b/>
        </w:rPr>
      </w:pPr>
      <w:r w:rsidRPr="001C653B">
        <w:rPr>
          <w:rFonts w:eastAsia="Times New Roman" w:cs="Arial"/>
          <w:b/>
          <w:lang w:eastAsia="en-GB"/>
        </w:rPr>
        <w:t>3.2</w:t>
      </w:r>
      <w:r>
        <w:tab/>
      </w:r>
      <w:r w:rsidRPr="001C653B">
        <w:rPr>
          <w:rFonts w:cs="Arial"/>
          <w:b/>
        </w:rPr>
        <w:t>Public Health and Wellbeing</w:t>
      </w:r>
      <w:r w:rsidRPr="552D6938">
        <w:rPr>
          <w:rFonts w:cs="Arial"/>
          <w:b/>
          <w:bCs/>
        </w:rPr>
        <w:t xml:space="preserve"> – </w:t>
      </w:r>
      <w:r w:rsidR="007C4683">
        <w:rPr>
          <w:rFonts w:cs="Arial"/>
          <w:b/>
        </w:rPr>
        <w:t>U</w:t>
      </w:r>
      <w:r>
        <w:rPr>
          <w:rFonts w:cs="Arial"/>
          <w:b/>
        </w:rPr>
        <w:t>nderspend</w:t>
      </w:r>
      <w:r w:rsidRPr="552D6938">
        <w:rPr>
          <w:rFonts w:cs="Arial"/>
          <w:b/>
          <w:bCs/>
        </w:rPr>
        <w:t xml:space="preserve"> £</w:t>
      </w:r>
      <w:r w:rsidR="004D45E6">
        <w:rPr>
          <w:rFonts w:cs="Arial"/>
          <w:b/>
          <w:bCs/>
        </w:rPr>
        <w:t>0.</w:t>
      </w:r>
      <w:r w:rsidRPr="552D6938">
        <w:rPr>
          <w:rFonts w:cs="Arial"/>
          <w:b/>
          <w:bCs/>
        </w:rPr>
        <w:t>634</w:t>
      </w:r>
      <w:r w:rsidR="004D45E6">
        <w:rPr>
          <w:rFonts w:cs="Arial"/>
          <w:b/>
          <w:bCs/>
        </w:rPr>
        <w:t>m</w:t>
      </w:r>
    </w:p>
    <w:p w14:paraId="0E017F0E" w14:textId="77777777" w:rsidR="00D10794" w:rsidRPr="001C653B" w:rsidRDefault="00D10794" w:rsidP="00D10794">
      <w:pPr>
        <w:spacing w:after="0"/>
        <w:rPr>
          <w:rFonts w:cs="Arial"/>
          <w:b/>
        </w:rPr>
      </w:pPr>
    </w:p>
    <w:p w14:paraId="6A740510" w14:textId="77777777" w:rsidR="001C653B" w:rsidRDefault="001C653B" w:rsidP="00D10794">
      <w:pPr>
        <w:spacing w:after="0"/>
        <w:rPr>
          <w:rFonts w:cs="Arial"/>
          <w:b/>
          <w:highlight w:val="yellow"/>
        </w:rPr>
      </w:pPr>
    </w:p>
    <w:tbl>
      <w:tblPr>
        <w:tblW w:w="81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1254"/>
        <w:gridCol w:w="1573"/>
        <w:gridCol w:w="1589"/>
        <w:gridCol w:w="1281"/>
      </w:tblGrid>
      <w:tr w:rsidR="006E5B54" w14:paraId="5AF32126" w14:textId="77777777" w:rsidTr="00B61F72">
        <w:trPr>
          <w:trHeight w:val="1290"/>
        </w:trPr>
        <w:tc>
          <w:tcPr>
            <w:tcW w:w="2418"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7FF333DD" w14:textId="77777777" w:rsidR="001C653B" w:rsidRPr="001C653B" w:rsidRDefault="00162F2E" w:rsidP="001C653B">
            <w:pPr>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Public Health &amp; Wellbeing</w:t>
            </w:r>
            <w:r w:rsidRPr="001C653B">
              <w:rPr>
                <w:rFonts w:eastAsia="Times New Roman" w:cs="Arial"/>
                <w:sz w:val="20"/>
                <w:szCs w:val="20"/>
                <w:lang w:eastAsia="en-GB"/>
              </w:rPr>
              <w:t> </w:t>
            </w:r>
          </w:p>
        </w:tc>
        <w:tc>
          <w:tcPr>
            <w:tcW w:w="1254" w:type="dxa"/>
            <w:tcBorders>
              <w:top w:val="single" w:sz="6" w:space="0" w:color="auto"/>
              <w:left w:val="nil"/>
              <w:bottom w:val="nil"/>
              <w:right w:val="single" w:sz="6" w:space="0" w:color="auto"/>
            </w:tcBorders>
            <w:shd w:val="clear" w:color="auto" w:fill="D9D9D9" w:themeFill="background1" w:themeFillShade="D9"/>
            <w:vAlign w:val="center"/>
            <w:hideMark/>
          </w:tcPr>
          <w:p w14:paraId="3019AB8F" w14:textId="77777777" w:rsidR="001C653B" w:rsidRPr="001C653B" w:rsidRDefault="00162F2E" w:rsidP="001C653B">
            <w:pPr>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color w:val="auto"/>
                <w:sz w:val="20"/>
                <w:szCs w:val="20"/>
                <w:lang w:eastAsia="en-GB"/>
              </w:rPr>
              <w:t>Approved Net Budget </w:t>
            </w:r>
            <w:r w:rsidRPr="001C653B">
              <w:rPr>
                <w:rFonts w:eastAsia="Times New Roman" w:cs="Arial"/>
                <w:color w:val="auto"/>
                <w:sz w:val="20"/>
                <w:szCs w:val="20"/>
                <w:lang w:eastAsia="en-GB"/>
              </w:rPr>
              <w:t> </w:t>
            </w:r>
          </w:p>
        </w:tc>
        <w:tc>
          <w:tcPr>
            <w:tcW w:w="1573" w:type="dxa"/>
            <w:tcBorders>
              <w:top w:val="single" w:sz="6" w:space="0" w:color="auto"/>
              <w:left w:val="nil"/>
              <w:bottom w:val="nil"/>
              <w:right w:val="single" w:sz="6" w:space="0" w:color="auto"/>
            </w:tcBorders>
            <w:shd w:val="clear" w:color="auto" w:fill="D9D9D9" w:themeFill="background1" w:themeFillShade="D9"/>
            <w:vAlign w:val="center"/>
            <w:hideMark/>
          </w:tcPr>
          <w:p w14:paraId="63D7539B" w14:textId="77777777" w:rsidR="001C653B" w:rsidRPr="001C653B" w:rsidRDefault="00162F2E" w:rsidP="001C653B">
            <w:pPr>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color w:val="auto"/>
                <w:sz w:val="20"/>
                <w:szCs w:val="20"/>
                <w:lang w:eastAsia="en-GB"/>
              </w:rPr>
              <w:t>Outturn Net Expenditure </w:t>
            </w:r>
            <w:r w:rsidRPr="001C653B">
              <w:rPr>
                <w:rFonts w:eastAsia="Times New Roman" w:cs="Arial"/>
                <w:color w:val="auto"/>
                <w:sz w:val="20"/>
                <w:szCs w:val="20"/>
                <w:lang w:eastAsia="en-GB"/>
              </w:rPr>
              <w:t> </w:t>
            </w:r>
          </w:p>
        </w:tc>
        <w:tc>
          <w:tcPr>
            <w:tcW w:w="1589" w:type="dxa"/>
            <w:tcBorders>
              <w:top w:val="single" w:sz="6" w:space="0" w:color="auto"/>
              <w:left w:val="nil"/>
              <w:bottom w:val="nil"/>
              <w:right w:val="single" w:sz="6" w:space="0" w:color="auto"/>
            </w:tcBorders>
            <w:shd w:val="clear" w:color="auto" w:fill="D9D9D9" w:themeFill="background1" w:themeFillShade="D9"/>
            <w:vAlign w:val="center"/>
            <w:hideMark/>
          </w:tcPr>
          <w:p w14:paraId="56AF4629" w14:textId="77777777" w:rsidR="001C653B" w:rsidRPr="001C653B" w:rsidRDefault="00162F2E" w:rsidP="001C653B">
            <w:pPr>
              <w:shd w:val="clear" w:color="auto" w:fill="D9D9D9"/>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color w:val="auto"/>
                <w:sz w:val="20"/>
                <w:szCs w:val="20"/>
                <w:lang w:eastAsia="en-GB"/>
              </w:rPr>
              <w:t>Outturn Overspend/</w:t>
            </w:r>
            <w:r w:rsidRPr="001C653B">
              <w:rPr>
                <w:rFonts w:eastAsia="Times New Roman" w:cs="Arial"/>
                <w:color w:val="auto"/>
                <w:sz w:val="20"/>
                <w:szCs w:val="20"/>
                <w:lang w:eastAsia="en-GB"/>
              </w:rPr>
              <w:t> </w:t>
            </w:r>
          </w:p>
          <w:p w14:paraId="1D237F78" w14:textId="77777777" w:rsidR="001C653B" w:rsidRPr="001C653B" w:rsidRDefault="00162F2E" w:rsidP="001C653B">
            <w:pPr>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color w:val="auto"/>
                <w:sz w:val="20"/>
                <w:szCs w:val="20"/>
                <w:lang w:eastAsia="en-GB"/>
              </w:rPr>
              <w:t>(Underspend) </w:t>
            </w:r>
            <w:r w:rsidRPr="001C653B">
              <w:rPr>
                <w:rFonts w:eastAsia="Times New Roman" w:cs="Arial"/>
                <w:color w:val="auto"/>
                <w:sz w:val="20"/>
                <w:szCs w:val="20"/>
                <w:lang w:eastAsia="en-GB"/>
              </w:rPr>
              <w:t> </w:t>
            </w:r>
          </w:p>
        </w:tc>
        <w:tc>
          <w:tcPr>
            <w:tcW w:w="1281" w:type="dxa"/>
            <w:tcBorders>
              <w:top w:val="single" w:sz="6" w:space="0" w:color="auto"/>
              <w:left w:val="nil"/>
              <w:bottom w:val="nil"/>
              <w:right w:val="single" w:sz="6" w:space="0" w:color="auto"/>
            </w:tcBorders>
            <w:shd w:val="clear" w:color="auto" w:fill="D9D9D9" w:themeFill="background1" w:themeFillShade="D9"/>
            <w:vAlign w:val="center"/>
            <w:hideMark/>
          </w:tcPr>
          <w:p w14:paraId="75DDD9A2" w14:textId="77777777" w:rsidR="001C653B" w:rsidRPr="001C653B" w:rsidRDefault="00162F2E" w:rsidP="001C653B">
            <w:pPr>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color w:val="auto"/>
                <w:sz w:val="20"/>
                <w:szCs w:val="20"/>
                <w:lang w:eastAsia="en-GB"/>
              </w:rPr>
              <w:t> Outturn Variance</w:t>
            </w:r>
            <w:r w:rsidRPr="001C653B">
              <w:rPr>
                <w:rFonts w:eastAsia="Times New Roman" w:cs="Arial"/>
                <w:color w:val="auto"/>
                <w:sz w:val="20"/>
                <w:szCs w:val="20"/>
                <w:lang w:eastAsia="en-GB"/>
              </w:rPr>
              <w:t> </w:t>
            </w:r>
          </w:p>
        </w:tc>
      </w:tr>
      <w:tr w:rsidR="006E5B54" w14:paraId="498B7306" w14:textId="77777777" w:rsidTr="00B61F72">
        <w:trPr>
          <w:trHeight w:val="285"/>
        </w:trPr>
        <w:tc>
          <w:tcPr>
            <w:tcW w:w="2418"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C4B8E0A" w14:textId="77777777" w:rsidR="001C653B" w:rsidRPr="001C653B" w:rsidRDefault="00162F2E" w:rsidP="001C653B">
            <w:pPr>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 </w:t>
            </w:r>
            <w:r w:rsidRPr="001C653B">
              <w:rPr>
                <w:rFonts w:eastAsia="Times New Roman" w:cs="Arial"/>
                <w:sz w:val="20"/>
                <w:szCs w:val="20"/>
                <w:lang w:eastAsia="en-GB"/>
              </w:rPr>
              <w:t> </w:t>
            </w:r>
          </w:p>
        </w:tc>
        <w:tc>
          <w:tcPr>
            <w:tcW w:w="1254" w:type="dxa"/>
            <w:tcBorders>
              <w:top w:val="nil"/>
              <w:left w:val="nil"/>
              <w:bottom w:val="single" w:sz="6" w:space="0" w:color="auto"/>
              <w:right w:val="single" w:sz="6" w:space="0" w:color="auto"/>
            </w:tcBorders>
            <w:shd w:val="clear" w:color="auto" w:fill="D9D9D9" w:themeFill="background1" w:themeFillShade="D9"/>
            <w:vAlign w:val="center"/>
            <w:hideMark/>
          </w:tcPr>
          <w:p w14:paraId="3994EA4D" w14:textId="77777777" w:rsidR="001C653B" w:rsidRPr="001C653B" w:rsidRDefault="00162F2E" w:rsidP="001C653B">
            <w:pPr>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£m</w:t>
            </w:r>
            <w:r w:rsidRPr="001C653B">
              <w:rPr>
                <w:rFonts w:eastAsia="Times New Roman" w:cs="Arial"/>
                <w:sz w:val="20"/>
                <w:szCs w:val="20"/>
                <w:lang w:eastAsia="en-GB"/>
              </w:rPr>
              <w:t> </w:t>
            </w:r>
          </w:p>
        </w:tc>
        <w:tc>
          <w:tcPr>
            <w:tcW w:w="1573" w:type="dxa"/>
            <w:tcBorders>
              <w:top w:val="nil"/>
              <w:left w:val="nil"/>
              <w:bottom w:val="single" w:sz="6" w:space="0" w:color="auto"/>
              <w:right w:val="single" w:sz="6" w:space="0" w:color="auto"/>
            </w:tcBorders>
            <w:shd w:val="clear" w:color="auto" w:fill="D9D9D9" w:themeFill="background1" w:themeFillShade="D9"/>
            <w:vAlign w:val="center"/>
            <w:hideMark/>
          </w:tcPr>
          <w:p w14:paraId="20ED6F8E" w14:textId="77777777" w:rsidR="001C653B" w:rsidRPr="001C653B" w:rsidRDefault="00162F2E" w:rsidP="001C653B">
            <w:pPr>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£m</w:t>
            </w:r>
            <w:r w:rsidRPr="001C653B">
              <w:rPr>
                <w:rFonts w:eastAsia="Times New Roman" w:cs="Arial"/>
                <w:sz w:val="20"/>
                <w:szCs w:val="20"/>
                <w:lang w:eastAsia="en-GB"/>
              </w:rPr>
              <w:t> </w:t>
            </w:r>
          </w:p>
        </w:tc>
        <w:tc>
          <w:tcPr>
            <w:tcW w:w="1589" w:type="dxa"/>
            <w:tcBorders>
              <w:top w:val="nil"/>
              <w:left w:val="nil"/>
              <w:bottom w:val="single" w:sz="6" w:space="0" w:color="auto"/>
              <w:right w:val="single" w:sz="6" w:space="0" w:color="auto"/>
            </w:tcBorders>
            <w:shd w:val="clear" w:color="auto" w:fill="D9D9D9" w:themeFill="background1" w:themeFillShade="D9"/>
            <w:vAlign w:val="center"/>
            <w:hideMark/>
          </w:tcPr>
          <w:p w14:paraId="4FDD5D6C" w14:textId="77777777" w:rsidR="001C653B" w:rsidRPr="001C653B" w:rsidRDefault="00162F2E" w:rsidP="001C653B">
            <w:pPr>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£m</w:t>
            </w:r>
            <w:r w:rsidRPr="001C653B">
              <w:rPr>
                <w:rFonts w:eastAsia="Times New Roman" w:cs="Arial"/>
                <w:sz w:val="20"/>
                <w:szCs w:val="20"/>
                <w:lang w:eastAsia="en-GB"/>
              </w:rPr>
              <w:t> </w:t>
            </w:r>
          </w:p>
        </w:tc>
        <w:tc>
          <w:tcPr>
            <w:tcW w:w="1281" w:type="dxa"/>
            <w:tcBorders>
              <w:top w:val="nil"/>
              <w:left w:val="nil"/>
              <w:bottom w:val="single" w:sz="6" w:space="0" w:color="auto"/>
              <w:right w:val="single" w:sz="6" w:space="0" w:color="auto"/>
            </w:tcBorders>
            <w:shd w:val="clear" w:color="auto" w:fill="D9D9D9" w:themeFill="background1" w:themeFillShade="D9"/>
            <w:vAlign w:val="center"/>
            <w:hideMark/>
          </w:tcPr>
          <w:p w14:paraId="7A55D2F8" w14:textId="77777777" w:rsidR="001C653B" w:rsidRPr="001C653B" w:rsidRDefault="00162F2E" w:rsidP="001C653B">
            <w:pPr>
              <w:autoSpaceDE/>
              <w:autoSpaceDN/>
              <w:adjustRightInd/>
              <w:spacing w:after="0"/>
              <w:jc w:val="center"/>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w:t>
            </w:r>
            <w:r w:rsidRPr="001C653B">
              <w:rPr>
                <w:rFonts w:eastAsia="Times New Roman" w:cs="Arial"/>
                <w:sz w:val="20"/>
                <w:szCs w:val="20"/>
                <w:lang w:eastAsia="en-GB"/>
              </w:rPr>
              <w:t> </w:t>
            </w:r>
          </w:p>
        </w:tc>
      </w:tr>
      <w:tr w:rsidR="006E5B54" w14:paraId="771D50BE" w14:textId="77777777" w:rsidTr="00B61F72">
        <w:trPr>
          <w:trHeight w:val="285"/>
        </w:trPr>
        <w:tc>
          <w:tcPr>
            <w:tcW w:w="2418"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05C87BA2" w14:textId="77777777" w:rsidR="001C653B" w:rsidRPr="001C653B" w:rsidRDefault="00162F2E" w:rsidP="001C653B">
            <w:pPr>
              <w:autoSpaceDE/>
              <w:autoSpaceDN/>
              <w:adjustRightInd/>
              <w:spacing w:after="0"/>
              <w:jc w:val="lef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Public Health &amp; Wellbeing</w:t>
            </w:r>
            <w:r w:rsidRPr="001C653B">
              <w:rPr>
                <w:rFonts w:eastAsia="Times New Roman" w:cs="Arial"/>
                <w:sz w:val="20"/>
                <w:szCs w:val="20"/>
                <w:lang w:eastAsia="en-GB"/>
              </w:rPr>
              <w:t> </w:t>
            </w:r>
          </w:p>
        </w:tc>
        <w:tc>
          <w:tcPr>
            <w:tcW w:w="12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3BB025"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color w:val="auto"/>
                <w:sz w:val="20"/>
                <w:szCs w:val="20"/>
                <w:lang w:eastAsia="en-GB"/>
              </w:rPr>
              <w:t>-67.320 </w:t>
            </w:r>
          </w:p>
        </w:tc>
        <w:tc>
          <w:tcPr>
            <w:tcW w:w="1573" w:type="dxa"/>
            <w:tcBorders>
              <w:top w:val="single" w:sz="6" w:space="0" w:color="auto"/>
              <w:left w:val="nil"/>
              <w:bottom w:val="single" w:sz="6" w:space="0" w:color="auto"/>
              <w:right w:val="single" w:sz="6" w:space="0" w:color="auto"/>
            </w:tcBorders>
            <w:shd w:val="clear" w:color="auto" w:fill="auto"/>
            <w:vAlign w:val="center"/>
            <w:hideMark/>
          </w:tcPr>
          <w:p w14:paraId="47E1616B"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-67.564 </w:t>
            </w:r>
          </w:p>
        </w:tc>
        <w:tc>
          <w:tcPr>
            <w:tcW w:w="1589"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2C6327F4"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-0.244 </w:t>
            </w:r>
          </w:p>
        </w:tc>
        <w:tc>
          <w:tcPr>
            <w:tcW w:w="1281" w:type="dxa"/>
            <w:tcBorders>
              <w:top w:val="single" w:sz="6" w:space="0" w:color="auto"/>
              <w:left w:val="nil"/>
              <w:bottom w:val="single" w:sz="6" w:space="0" w:color="auto"/>
              <w:right w:val="single" w:sz="6" w:space="0" w:color="auto"/>
            </w:tcBorders>
            <w:shd w:val="clear" w:color="auto" w:fill="auto"/>
            <w:vAlign w:val="center"/>
            <w:hideMark/>
          </w:tcPr>
          <w:p w14:paraId="73008C8F"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-0.36% </w:t>
            </w:r>
          </w:p>
        </w:tc>
      </w:tr>
      <w:tr w:rsidR="006E5B54" w14:paraId="2EE7F1B4" w14:textId="77777777" w:rsidTr="00B61F72">
        <w:trPr>
          <w:trHeight w:val="285"/>
        </w:trPr>
        <w:tc>
          <w:tcPr>
            <w:tcW w:w="2418"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AAF8089" w14:textId="77777777" w:rsidR="001C653B" w:rsidRPr="001C653B" w:rsidRDefault="00162F2E" w:rsidP="001C653B">
            <w:pPr>
              <w:autoSpaceDE/>
              <w:autoSpaceDN/>
              <w:adjustRightInd/>
              <w:spacing w:after="0"/>
              <w:jc w:val="lef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Health Equity Welfare &amp; Partnerships</w:t>
            </w:r>
            <w:r w:rsidRPr="001C653B">
              <w:rPr>
                <w:rFonts w:eastAsia="Times New Roman" w:cs="Arial"/>
                <w:sz w:val="20"/>
                <w:szCs w:val="20"/>
                <w:lang w:eastAsia="en-GB"/>
              </w:rPr>
              <w:t> </w:t>
            </w:r>
          </w:p>
        </w:tc>
        <w:tc>
          <w:tcPr>
            <w:tcW w:w="1254" w:type="dxa"/>
            <w:tcBorders>
              <w:top w:val="nil"/>
              <w:left w:val="single" w:sz="6" w:space="0" w:color="auto"/>
              <w:bottom w:val="single" w:sz="6" w:space="0" w:color="auto"/>
              <w:right w:val="single" w:sz="6" w:space="0" w:color="auto"/>
            </w:tcBorders>
            <w:shd w:val="clear" w:color="auto" w:fill="auto"/>
            <w:vAlign w:val="center"/>
            <w:hideMark/>
          </w:tcPr>
          <w:p w14:paraId="79E2D6D1"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color w:val="auto"/>
                <w:sz w:val="20"/>
                <w:szCs w:val="20"/>
                <w:lang w:eastAsia="en-GB"/>
              </w:rPr>
              <w:t>58.296 </w:t>
            </w:r>
          </w:p>
        </w:tc>
        <w:tc>
          <w:tcPr>
            <w:tcW w:w="1573" w:type="dxa"/>
            <w:tcBorders>
              <w:top w:val="nil"/>
              <w:left w:val="nil"/>
              <w:bottom w:val="single" w:sz="6" w:space="0" w:color="auto"/>
              <w:right w:val="single" w:sz="6" w:space="0" w:color="auto"/>
            </w:tcBorders>
            <w:shd w:val="clear" w:color="auto" w:fill="auto"/>
            <w:vAlign w:val="center"/>
            <w:hideMark/>
          </w:tcPr>
          <w:p w14:paraId="0E5801F8"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58.641 </w:t>
            </w:r>
          </w:p>
        </w:tc>
        <w:tc>
          <w:tcPr>
            <w:tcW w:w="1589" w:type="dxa"/>
            <w:tcBorders>
              <w:top w:val="nil"/>
              <w:left w:val="nil"/>
              <w:bottom w:val="single" w:sz="6" w:space="0" w:color="auto"/>
              <w:right w:val="single" w:sz="6" w:space="0" w:color="auto"/>
            </w:tcBorders>
            <w:shd w:val="clear" w:color="auto" w:fill="D9D9D9" w:themeFill="background1" w:themeFillShade="D9"/>
            <w:vAlign w:val="center"/>
            <w:hideMark/>
          </w:tcPr>
          <w:p w14:paraId="61504C40"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0.345 </w:t>
            </w:r>
          </w:p>
        </w:tc>
        <w:tc>
          <w:tcPr>
            <w:tcW w:w="1281" w:type="dxa"/>
            <w:tcBorders>
              <w:top w:val="nil"/>
              <w:left w:val="nil"/>
              <w:bottom w:val="single" w:sz="6" w:space="0" w:color="auto"/>
              <w:right w:val="single" w:sz="6" w:space="0" w:color="auto"/>
            </w:tcBorders>
            <w:shd w:val="clear" w:color="auto" w:fill="auto"/>
            <w:vAlign w:val="center"/>
            <w:hideMark/>
          </w:tcPr>
          <w:p w14:paraId="608A2630"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0.59% </w:t>
            </w:r>
          </w:p>
        </w:tc>
      </w:tr>
      <w:tr w:rsidR="006E5B54" w14:paraId="53538267" w14:textId="77777777" w:rsidTr="00B61F72">
        <w:trPr>
          <w:trHeight w:val="285"/>
        </w:trPr>
        <w:tc>
          <w:tcPr>
            <w:tcW w:w="2418"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1330604F" w14:textId="77777777" w:rsidR="001C653B" w:rsidRPr="001C653B" w:rsidRDefault="00162F2E" w:rsidP="001C653B">
            <w:pPr>
              <w:autoSpaceDE/>
              <w:autoSpaceDN/>
              <w:adjustRightInd/>
              <w:spacing w:after="0"/>
              <w:jc w:val="lef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Health, Safety &amp; Resilience</w:t>
            </w:r>
            <w:r w:rsidRPr="001C653B">
              <w:rPr>
                <w:rFonts w:eastAsia="Times New Roman" w:cs="Arial"/>
                <w:sz w:val="20"/>
                <w:szCs w:val="20"/>
                <w:lang w:eastAsia="en-GB"/>
              </w:rPr>
              <w:t> </w:t>
            </w:r>
          </w:p>
        </w:tc>
        <w:tc>
          <w:tcPr>
            <w:tcW w:w="1254" w:type="dxa"/>
            <w:tcBorders>
              <w:top w:val="nil"/>
              <w:left w:val="single" w:sz="6" w:space="0" w:color="auto"/>
              <w:bottom w:val="single" w:sz="6" w:space="0" w:color="auto"/>
              <w:right w:val="single" w:sz="6" w:space="0" w:color="auto"/>
            </w:tcBorders>
            <w:shd w:val="clear" w:color="auto" w:fill="auto"/>
            <w:vAlign w:val="center"/>
            <w:hideMark/>
          </w:tcPr>
          <w:p w14:paraId="41EB68FA"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color w:val="auto"/>
                <w:sz w:val="20"/>
                <w:szCs w:val="20"/>
                <w:lang w:eastAsia="en-GB"/>
              </w:rPr>
              <w:t>0.985 </w:t>
            </w:r>
          </w:p>
        </w:tc>
        <w:tc>
          <w:tcPr>
            <w:tcW w:w="1573" w:type="dxa"/>
            <w:tcBorders>
              <w:top w:val="nil"/>
              <w:left w:val="nil"/>
              <w:bottom w:val="single" w:sz="6" w:space="0" w:color="auto"/>
              <w:right w:val="single" w:sz="6" w:space="0" w:color="auto"/>
            </w:tcBorders>
            <w:shd w:val="clear" w:color="auto" w:fill="auto"/>
            <w:vAlign w:val="center"/>
            <w:hideMark/>
          </w:tcPr>
          <w:p w14:paraId="7F271416"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0.173 </w:t>
            </w:r>
          </w:p>
        </w:tc>
        <w:tc>
          <w:tcPr>
            <w:tcW w:w="1589" w:type="dxa"/>
            <w:tcBorders>
              <w:top w:val="nil"/>
              <w:left w:val="nil"/>
              <w:bottom w:val="single" w:sz="6" w:space="0" w:color="auto"/>
              <w:right w:val="single" w:sz="6" w:space="0" w:color="auto"/>
            </w:tcBorders>
            <w:shd w:val="clear" w:color="auto" w:fill="D9D9D9" w:themeFill="background1" w:themeFillShade="D9"/>
            <w:vAlign w:val="center"/>
            <w:hideMark/>
          </w:tcPr>
          <w:p w14:paraId="193A84F5"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-0.812 </w:t>
            </w:r>
          </w:p>
        </w:tc>
        <w:tc>
          <w:tcPr>
            <w:tcW w:w="1281" w:type="dxa"/>
            <w:tcBorders>
              <w:top w:val="nil"/>
              <w:left w:val="nil"/>
              <w:bottom w:val="single" w:sz="6" w:space="0" w:color="auto"/>
              <w:right w:val="single" w:sz="6" w:space="0" w:color="auto"/>
            </w:tcBorders>
            <w:shd w:val="clear" w:color="auto" w:fill="auto"/>
            <w:vAlign w:val="center"/>
            <w:hideMark/>
          </w:tcPr>
          <w:p w14:paraId="750B734F"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-82.44% </w:t>
            </w:r>
          </w:p>
        </w:tc>
      </w:tr>
      <w:tr w:rsidR="006E5B54" w14:paraId="698CAB1E" w14:textId="77777777" w:rsidTr="00B61F72">
        <w:trPr>
          <w:trHeight w:val="285"/>
        </w:trPr>
        <w:tc>
          <w:tcPr>
            <w:tcW w:w="2418"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45BE880D" w14:textId="77777777" w:rsidR="001C653B" w:rsidRPr="001C653B" w:rsidRDefault="00162F2E" w:rsidP="001C653B">
            <w:pPr>
              <w:autoSpaceDE/>
              <w:autoSpaceDN/>
              <w:adjustRightInd/>
              <w:spacing w:after="0"/>
              <w:jc w:val="lef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Trading Standards &amp; Scientific Services</w:t>
            </w:r>
            <w:r w:rsidRPr="001C653B">
              <w:rPr>
                <w:rFonts w:eastAsia="Times New Roman" w:cs="Arial"/>
                <w:sz w:val="20"/>
                <w:szCs w:val="20"/>
                <w:lang w:eastAsia="en-GB"/>
              </w:rPr>
              <w:t> </w:t>
            </w:r>
          </w:p>
        </w:tc>
        <w:tc>
          <w:tcPr>
            <w:tcW w:w="1254" w:type="dxa"/>
            <w:tcBorders>
              <w:top w:val="nil"/>
              <w:left w:val="single" w:sz="6" w:space="0" w:color="auto"/>
              <w:bottom w:val="single" w:sz="6" w:space="0" w:color="auto"/>
              <w:right w:val="single" w:sz="6" w:space="0" w:color="auto"/>
            </w:tcBorders>
            <w:shd w:val="clear" w:color="auto" w:fill="auto"/>
            <w:vAlign w:val="center"/>
            <w:hideMark/>
          </w:tcPr>
          <w:p w14:paraId="3976445F"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color w:val="auto"/>
                <w:sz w:val="20"/>
                <w:szCs w:val="20"/>
                <w:lang w:eastAsia="en-GB"/>
              </w:rPr>
              <w:t>3.494 </w:t>
            </w:r>
          </w:p>
        </w:tc>
        <w:tc>
          <w:tcPr>
            <w:tcW w:w="1573" w:type="dxa"/>
            <w:tcBorders>
              <w:top w:val="nil"/>
              <w:left w:val="nil"/>
              <w:bottom w:val="single" w:sz="6" w:space="0" w:color="auto"/>
              <w:right w:val="single" w:sz="6" w:space="0" w:color="auto"/>
            </w:tcBorders>
            <w:shd w:val="clear" w:color="auto" w:fill="auto"/>
            <w:vAlign w:val="center"/>
            <w:hideMark/>
          </w:tcPr>
          <w:p w14:paraId="0929CEB3"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3.711 </w:t>
            </w:r>
          </w:p>
        </w:tc>
        <w:tc>
          <w:tcPr>
            <w:tcW w:w="1589" w:type="dxa"/>
            <w:tcBorders>
              <w:top w:val="nil"/>
              <w:left w:val="nil"/>
              <w:bottom w:val="single" w:sz="6" w:space="0" w:color="auto"/>
              <w:right w:val="single" w:sz="6" w:space="0" w:color="auto"/>
            </w:tcBorders>
            <w:shd w:val="clear" w:color="auto" w:fill="D9D9D9" w:themeFill="background1" w:themeFillShade="D9"/>
            <w:vAlign w:val="center"/>
            <w:hideMark/>
          </w:tcPr>
          <w:p w14:paraId="23EB68DE"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0.217 </w:t>
            </w:r>
          </w:p>
        </w:tc>
        <w:tc>
          <w:tcPr>
            <w:tcW w:w="1281" w:type="dxa"/>
            <w:tcBorders>
              <w:top w:val="nil"/>
              <w:left w:val="nil"/>
              <w:bottom w:val="single" w:sz="6" w:space="0" w:color="auto"/>
              <w:right w:val="single" w:sz="6" w:space="0" w:color="auto"/>
            </w:tcBorders>
            <w:shd w:val="clear" w:color="auto" w:fill="auto"/>
            <w:vAlign w:val="center"/>
            <w:hideMark/>
          </w:tcPr>
          <w:p w14:paraId="1922DD33"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6.21% </w:t>
            </w:r>
          </w:p>
        </w:tc>
      </w:tr>
      <w:tr w:rsidR="006E5B54" w14:paraId="16D5E633" w14:textId="77777777" w:rsidTr="00B61F72">
        <w:trPr>
          <w:trHeight w:val="405"/>
        </w:trPr>
        <w:tc>
          <w:tcPr>
            <w:tcW w:w="2418"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48D8393" w14:textId="77777777" w:rsidR="001C653B" w:rsidRPr="001C653B" w:rsidRDefault="00162F2E" w:rsidP="001C653B">
            <w:pPr>
              <w:autoSpaceDE/>
              <w:autoSpaceDN/>
              <w:adjustRightInd/>
              <w:spacing w:after="0"/>
              <w:jc w:val="lef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Total</w:t>
            </w:r>
            <w:r w:rsidRPr="001C653B">
              <w:rPr>
                <w:rFonts w:eastAsia="Times New Roman" w:cs="Arial"/>
                <w:sz w:val="20"/>
                <w:szCs w:val="20"/>
                <w:lang w:eastAsia="en-GB"/>
              </w:rPr>
              <w:t> </w:t>
            </w:r>
          </w:p>
        </w:tc>
        <w:tc>
          <w:tcPr>
            <w:tcW w:w="1254"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3FD8AE6"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b/>
                <w:bCs/>
                <w:color w:val="auto"/>
                <w:sz w:val="20"/>
                <w:szCs w:val="20"/>
                <w:lang w:eastAsia="en-GB"/>
              </w:rPr>
              <w:t>-4.546</w:t>
            </w:r>
            <w:r w:rsidRPr="001C653B">
              <w:rPr>
                <w:rFonts w:eastAsia="Times New Roman" w:cs="Arial"/>
                <w:color w:val="auto"/>
                <w:sz w:val="20"/>
                <w:szCs w:val="20"/>
                <w:lang w:eastAsia="en-GB"/>
              </w:rPr>
              <w:t> </w:t>
            </w:r>
          </w:p>
        </w:tc>
        <w:tc>
          <w:tcPr>
            <w:tcW w:w="1573" w:type="dxa"/>
            <w:tcBorders>
              <w:top w:val="nil"/>
              <w:left w:val="nil"/>
              <w:bottom w:val="single" w:sz="6" w:space="0" w:color="auto"/>
              <w:right w:val="single" w:sz="6" w:space="0" w:color="auto"/>
            </w:tcBorders>
            <w:shd w:val="clear" w:color="auto" w:fill="D9D9D9" w:themeFill="background1" w:themeFillShade="D9"/>
            <w:vAlign w:val="center"/>
            <w:hideMark/>
          </w:tcPr>
          <w:p w14:paraId="40C673FE"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-5.039</w:t>
            </w:r>
            <w:r w:rsidRPr="001C653B">
              <w:rPr>
                <w:rFonts w:eastAsia="Times New Roman" w:cs="Arial"/>
                <w:sz w:val="20"/>
                <w:szCs w:val="20"/>
                <w:lang w:eastAsia="en-GB"/>
              </w:rPr>
              <w:t> </w:t>
            </w:r>
          </w:p>
        </w:tc>
        <w:tc>
          <w:tcPr>
            <w:tcW w:w="1589" w:type="dxa"/>
            <w:tcBorders>
              <w:top w:val="nil"/>
              <w:left w:val="nil"/>
              <w:bottom w:val="single" w:sz="6" w:space="0" w:color="auto"/>
              <w:right w:val="single" w:sz="6" w:space="0" w:color="auto"/>
            </w:tcBorders>
            <w:shd w:val="clear" w:color="auto" w:fill="D9D9D9" w:themeFill="background1" w:themeFillShade="D9"/>
            <w:vAlign w:val="center"/>
            <w:hideMark/>
          </w:tcPr>
          <w:p w14:paraId="185CBA55"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-0.494</w:t>
            </w:r>
            <w:r w:rsidRPr="001C653B">
              <w:rPr>
                <w:rFonts w:eastAsia="Times New Roman" w:cs="Arial"/>
                <w:sz w:val="20"/>
                <w:szCs w:val="20"/>
                <w:lang w:eastAsia="en-GB"/>
              </w:rPr>
              <w:t> </w:t>
            </w:r>
          </w:p>
        </w:tc>
        <w:tc>
          <w:tcPr>
            <w:tcW w:w="1281" w:type="dxa"/>
            <w:tcBorders>
              <w:top w:val="nil"/>
              <w:left w:val="nil"/>
              <w:bottom w:val="single" w:sz="6" w:space="0" w:color="auto"/>
              <w:right w:val="single" w:sz="6" w:space="0" w:color="auto"/>
            </w:tcBorders>
            <w:shd w:val="clear" w:color="auto" w:fill="BFBFBF" w:themeFill="background1" w:themeFillShade="BF"/>
            <w:vAlign w:val="center"/>
            <w:hideMark/>
          </w:tcPr>
          <w:p w14:paraId="3865074D"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-10.87%</w:t>
            </w:r>
            <w:r w:rsidRPr="001C653B">
              <w:rPr>
                <w:rFonts w:eastAsia="Times New Roman" w:cs="Arial"/>
                <w:sz w:val="20"/>
                <w:szCs w:val="20"/>
                <w:lang w:eastAsia="en-GB"/>
              </w:rPr>
              <w:t> </w:t>
            </w:r>
          </w:p>
        </w:tc>
      </w:tr>
      <w:tr w:rsidR="006E5B54" w14:paraId="407E08CC" w14:textId="77777777" w:rsidTr="00B61F72">
        <w:trPr>
          <w:trHeight w:val="285"/>
        </w:trPr>
        <w:tc>
          <w:tcPr>
            <w:tcW w:w="2418"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6ECE21C" w14:textId="77777777" w:rsidR="001C653B" w:rsidRPr="001C653B" w:rsidRDefault="00162F2E" w:rsidP="001C653B">
            <w:pPr>
              <w:autoSpaceDE/>
              <w:autoSpaceDN/>
              <w:adjustRightInd/>
              <w:spacing w:after="0"/>
              <w:jc w:val="lef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 xml:space="preserve">Share of unallocated </w:t>
            </w:r>
            <w:r w:rsidR="0026517A">
              <w:rPr>
                <w:rFonts w:eastAsia="Times New Roman" w:cs="Arial"/>
                <w:b/>
                <w:bCs/>
                <w:sz w:val="20"/>
                <w:szCs w:val="20"/>
                <w:lang w:eastAsia="en-GB"/>
              </w:rPr>
              <w:t>Covid</w:t>
            </w:r>
            <w:r w:rsidRPr="001C653B">
              <w:rPr>
                <w:rFonts w:eastAsia="Times New Roman" w:cs="Arial"/>
                <w:b/>
                <w:bCs/>
                <w:sz w:val="20"/>
                <w:szCs w:val="20"/>
                <w:lang w:eastAsia="en-GB"/>
              </w:rPr>
              <w:t>-19 emergency monies</w:t>
            </w:r>
            <w:r w:rsidRPr="001C653B">
              <w:rPr>
                <w:rFonts w:eastAsia="Times New Roman" w:cs="Arial"/>
                <w:sz w:val="20"/>
                <w:szCs w:val="20"/>
                <w:lang w:eastAsia="en-GB"/>
              </w:rPr>
              <w:t> </w:t>
            </w:r>
          </w:p>
        </w:tc>
        <w:tc>
          <w:tcPr>
            <w:tcW w:w="1254" w:type="dxa"/>
            <w:tcBorders>
              <w:top w:val="nil"/>
              <w:left w:val="single" w:sz="6" w:space="0" w:color="auto"/>
              <w:bottom w:val="single" w:sz="6" w:space="0" w:color="auto"/>
              <w:right w:val="single" w:sz="6" w:space="0" w:color="auto"/>
            </w:tcBorders>
            <w:shd w:val="clear" w:color="auto" w:fill="auto"/>
            <w:vAlign w:val="center"/>
            <w:hideMark/>
          </w:tcPr>
          <w:p w14:paraId="68AB0CC2"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color w:val="auto"/>
                <w:sz w:val="20"/>
                <w:szCs w:val="20"/>
                <w:lang w:eastAsia="en-GB"/>
              </w:rPr>
              <w:t>0.140 </w:t>
            </w:r>
          </w:p>
        </w:tc>
        <w:tc>
          <w:tcPr>
            <w:tcW w:w="1573" w:type="dxa"/>
            <w:tcBorders>
              <w:top w:val="nil"/>
              <w:left w:val="nil"/>
              <w:bottom w:val="single" w:sz="6" w:space="0" w:color="auto"/>
              <w:right w:val="single" w:sz="6" w:space="0" w:color="auto"/>
            </w:tcBorders>
            <w:shd w:val="clear" w:color="auto" w:fill="auto"/>
            <w:vAlign w:val="center"/>
            <w:hideMark/>
          </w:tcPr>
          <w:p w14:paraId="05155E59"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0.000 </w:t>
            </w:r>
          </w:p>
        </w:tc>
        <w:tc>
          <w:tcPr>
            <w:tcW w:w="1589" w:type="dxa"/>
            <w:tcBorders>
              <w:top w:val="nil"/>
              <w:left w:val="nil"/>
              <w:bottom w:val="single" w:sz="6" w:space="0" w:color="auto"/>
              <w:right w:val="single" w:sz="6" w:space="0" w:color="auto"/>
            </w:tcBorders>
            <w:shd w:val="clear" w:color="auto" w:fill="D9D9D9" w:themeFill="background1" w:themeFillShade="D9"/>
            <w:vAlign w:val="center"/>
            <w:hideMark/>
          </w:tcPr>
          <w:p w14:paraId="1FD13714"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-0.140 </w:t>
            </w:r>
          </w:p>
        </w:tc>
        <w:tc>
          <w:tcPr>
            <w:tcW w:w="1281" w:type="dxa"/>
            <w:tcBorders>
              <w:top w:val="nil"/>
              <w:left w:val="nil"/>
              <w:bottom w:val="single" w:sz="6" w:space="0" w:color="auto"/>
              <w:right w:val="single" w:sz="6" w:space="0" w:color="auto"/>
            </w:tcBorders>
            <w:shd w:val="clear" w:color="auto" w:fill="auto"/>
            <w:vAlign w:val="center"/>
            <w:hideMark/>
          </w:tcPr>
          <w:p w14:paraId="383ABD54"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sz w:val="20"/>
                <w:szCs w:val="20"/>
                <w:lang w:eastAsia="en-GB"/>
              </w:rPr>
              <w:t>-100.00% </w:t>
            </w:r>
          </w:p>
        </w:tc>
      </w:tr>
      <w:tr w:rsidR="006E5B54" w14:paraId="5C204FBD" w14:textId="77777777" w:rsidTr="00B61F72">
        <w:trPr>
          <w:trHeight w:val="285"/>
        </w:trPr>
        <w:tc>
          <w:tcPr>
            <w:tcW w:w="2418"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E244650" w14:textId="77777777" w:rsidR="001C653B" w:rsidRPr="001C653B" w:rsidRDefault="00162F2E" w:rsidP="001C653B">
            <w:pPr>
              <w:autoSpaceDE/>
              <w:autoSpaceDN/>
              <w:adjustRightInd/>
              <w:spacing w:after="0"/>
              <w:jc w:val="lef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Total Public Health &amp; Wellbeing</w:t>
            </w:r>
            <w:r w:rsidRPr="001C653B">
              <w:rPr>
                <w:rFonts w:eastAsia="Times New Roman" w:cs="Arial"/>
                <w:sz w:val="20"/>
                <w:szCs w:val="20"/>
                <w:lang w:eastAsia="en-GB"/>
              </w:rPr>
              <w:t> </w:t>
            </w:r>
          </w:p>
        </w:tc>
        <w:tc>
          <w:tcPr>
            <w:tcW w:w="1254"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10AA3A7D"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b/>
                <w:bCs/>
                <w:color w:val="auto"/>
                <w:sz w:val="20"/>
                <w:szCs w:val="20"/>
                <w:lang w:eastAsia="en-GB"/>
              </w:rPr>
              <w:t>-4.405</w:t>
            </w:r>
            <w:r w:rsidRPr="001C653B">
              <w:rPr>
                <w:rFonts w:eastAsia="Times New Roman" w:cs="Arial"/>
                <w:color w:val="auto"/>
                <w:sz w:val="20"/>
                <w:szCs w:val="20"/>
                <w:lang w:eastAsia="en-GB"/>
              </w:rPr>
              <w:t> </w:t>
            </w:r>
          </w:p>
        </w:tc>
        <w:tc>
          <w:tcPr>
            <w:tcW w:w="1573" w:type="dxa"/>
            <w:tcBorders>
              <w:top w:val="nil"/>
              <w:left w:val="nil"/>
              <w:bottom w:val="single" w:sz="6" w:space="0" w:color="auto"/>
              <w:right w:val="single" w:sz="6" w:space="0" w:color="auto"/>
            </w:tcBorders>
            <w:shd w:val="clear" w:color="auto" w:fill="D9D9D9" w:themeFill="background1" w:themeFillShade="D9"/>
            <w:vAlign w:val="center"/>
            <w:hideMark/>
          </w:tcPr>
          <w:p w14:paraId="6D929590"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-5.039</w:t>
            </w:r>
            <w:r w:rsidRPr="001C653B">
              <w:rPr>
                <w:rFonts w:eastAsia="Times New Roman" w:cs="Arial"/>
                <w:sz w:val="20"/>
                <w:szCs w:val="20"/>
                <w:lang w:eastAsia="en-GB"/>
              </w:rPr>
              <w:t> </w:t>
            </w:r>
          </w:p>
        </w:tc>
        <w:tc>
          <w:tcPr>
            <w:tcW w:w="1589" w:type="dxa"/>
            <w:tcBorders>
              <w:top w:val="nil"/>
              <w:left w:val="nil"/>
              <w:bottom w:val="single" w:sz="6" w:space="0" w:color="auto"/>
              <w:right w:val="single" w:sz="6" w:space="0" w:color="auto"/>
            </w:tcBorders>
            <w:shd w:val="clear" w:color="auto" w:fill="D9D9D9" w:themeFill="background1" w:themeFillShade="D9"/>
            <w:vAlign w:val="center"/>
            <w:hideMark/>
          </w:tcPr>
          <w:p w14:paraId="2B80B272"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-0.634</w:t>
            </w:r>
            <w:r w:rsidRPr="001C653B">
              <w:rPr>
                <w:rFonts w:eastAsia="Times New Roman" w:cs="Arial"/>
                <w:sz w:val="20"/>
                <w:szCs w:val="20"/>
                <w:lang w:eastAsia="en-GB"/>
              </w:rPr>
              <w:t> </w:t>
            </w:r>
          </w:p>
        </w:tc>
        <w:tc>
          <w:tcPr>
            <w:tcW w:w="1281" w:type="dxa"/>
            <w:tcBorders>
              <w:top w:val="nil"/>
              <w:left w:val="nil"/>
              <w:bottom w:val="single" w:sz="6" w:space="0" w:color="auto"/>
              <w:right w:val="single" w:sz="6" w:space="0" w:color="auto"/>
            </w:tcBorders>
            <w:shd w:val="clear" w:color="auto" w:fill="D9D9D9" w:themeFill="background1" w:themeFillShade="D9"/>
            <w:vAlign w:val="center"/>
            <w:hideMark/>
          </w:tcPr>
          <w:p w14:paraId="034A8015" w14:textId="77777777" w:rsidR="001C653B" w:rsidRPr="001C653B" w:rsidRDefault="00162F2E" w:rsidP="001C653B">
            <w:pPr>
              <w:autoSpaceDE/>
              <w:autoSpaceDN/>
              <w:adjustRightInd/>
              <w:spacing w:after="0"/>
              <w:jc w:val="right"/>
              <w:textAlignment w:val="baseline"/>
              <w:rPr>
                <w:rFonts w:ascii="Times New Roman" w:eastAsia="Times New Roman" w:hAnsi="Times New Roman" w:cs="Times New Roman"/>
                <w:color w:val="auto"/>
                <w:lang w:eastAsia="en-GB"/>
              </w:rPr>
            </w:pPr>
            <w:r w:rsidRPr="001C653B">
              <w:rPr>
                <w:rFonts w:eastAsia="Times New Roman" w:cs="Arial"/>
                <w:b/>
                <w:bCs/>
                <w:sz w:val="20"/>
                <w:szCs w:val="20"/>
                <w:lang w:eastAsia="en-GB"/>
              </w:rPr>
              <w:t>-14.39%</w:t>
            </w:r>
            <w:r w:rsidRPr="001C653B">
              <w:rPr>
                <w:rFonts w:eastAsia="Times New Roman" w:cs="Arial"/>
                <w:sz w:val="20"/>
                <w:szCs w:val="20"/>
                <w:lang w:eastAsia="en-GB"/>
              </w:rPr>
              <w:t> </w:t>
            </w:r>
          </w:p>
        </w:tc>
      </w:tr>
    </w:tbl>
    <w:p w14:paraId="36C6D4BE" w14:textId="76B9ACC1" w:rsidR="00D10794" w:rsidRPr="00642D26" w:rsidRDefault="00162F2E" w:rsidP="00642D26">
      <w:pPr>
        <w:autoSpaceDE/>
        <w:autoSpaceDN/>
        <w:adjustRightInd/>
        <w:spacing w:after="0"/>
        <w:jc w:val="left"/>
        <w:textAlignment w:val="baseline"/>
        <w:rPr>
          <w:rFonts w:ascii="Segoe UI" w:eastAsia="Times New Roman" w:hAnsi="Segoe UI" w:cs="Segoe UI"/>
          <w:color w:val="auto"/>
          <w:sz w:val="18"/>
          <w:szCs w:val="18"/>
          <w:lang w:eastAsia="en-GB"/>
        </w:rPr>
      </w:pPr>
      <w:r w:rsidRPr="001C653B">
        <w:rPr>
          <w:rFonts w:eastAsia="Times New Roman" w:cs="Arial"/>
          <w:color w:val="FF0000"/>
          <w:lang w:eastAsia="en-GB"/>
        </w:rPr>
        <w:t> </w:t>
      </w:r>
    </w:p>
    <w:p w14:paraId="04DC6015" w14:textId="77777777" w:rsidR="006D49D8" w:rsidRPr="00B94E54" w:rsidRDefault="00162F2E" w:rsidP="00D10794">
      <w:pPr>
        <w:spacing w:after="0"/>
        <w:rPr>
          <w:rFonts w:cs="Arial"/>
          <w:b/>
          <w:bCs/>
        </w:rPr>
      </w:pPr>
      <w:r w:rsidRPr="00B94E54">
        <w:rPr>
          <w:rFonts w:cs="Arial"/>
          <w:b/>
        </w:rPr>
        <w:t>O</w:t>
      </w:r>
      <w:r w:rsidR="00AB27B1">
        <w:rPr>
          <w:rFonts w:cs="Arial"/>
          <w:b/>
        </w:rPr>
        <w:t>verall Public Health Summary</w:t>
      </w:r>
    </w:p>
    <w:p w14:paraId="155EBE0E" w14:textId="77777777" w:rsidR="00FC1D49" w:rsidRDefault="00FC1D49" w:rsidP="00D10794">
      <w:pPr>
        <w:spacing w:after="0"/>
        <w:rPr>
          <w:rFonts w:cs="Arial"/>
          <w:b/>
          <w:highlight w:val="yellow"/>
        </w:rPr>
      </w:pPr>
    </w:p>
    <w:p w14:paraId="6EADC9F1" w14:textId="77777777" w:rsidR="00FC1D49" w:rsidRDefault="00162F2E" w:rsidP="00FC1D4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The total budget for Public Health &amp; Wellbeing Services in 2021/22 is a net Income Budget of (£4.545m) as it includes the ring-fenced Public Health Grant of £70.243m. The overall Directorate forecasted outturn position to 31</w:t>
      </w:r>
      <w:r>
        <w:rPr>
          <w:rStyle w:val="normaltextrun"/>
          <w:rFonts w:ascii="Arial" w:hAnsi="Arial"/>
          <w:sz w:val="19"/>
          <w:szCs w:val="19"/>
          <w:vertAlign w:val="superscript"/>
        </w:rPr>
        <w:t>st</w:t>
      </w:r>
      <w:r>
        <w:rPr>
          <w:rStyle w:val="normaltextrun"/>
          <w:rFonts w:ascii="Arial" w:hAnsi="Arial"/>
        </w:rPr>
        <w:t xml:space="preserve"> March 2022 is an underspend of £0.494m.  The allocation of £0.140m from the </w:t>
      </w:r>
      <w:r w:rsidR="0026517A">
        <w:rPr>
          <w:rStyle w:val="normaltextrun"/>
          <w:rFonts w:ascii="Arial" w:hAnsi="Arial"/>
        </w:rPr>
        <w:t>Covid-19</w:t>
      </w:r>
      <w:r>
        <w:rPr>
          <w:rStyle w:val="normaltextrun"/>
          <w:rFonts w:ascii="Arial" w:hAnsi="Arial"/>
        </w:rPr>
        <w:t xml:space="preserve"> </w:t>
      </w:r>
      <w:r>
        <w:rPr>
          <w:rStyle w:val="normaltextrun"/>
          <w:rFonts w:ascii="Arial" w:hAnsi="Arial"/>
        </w:rPr>
        <w:lastRenderedPageBreak/>
        <w:t>Emergency Grant monies below the line and shown in the table above (highlighted in yellow) increases this underspend to £0.634m.  </w:t>
      </w:r>
      <w:r>
        <w:rPr>
          <w:rStyle w:val="eop"/>
          <w:rFonts w:ascii="Arial" w:hAnsi="Arial"/>
        </w:rPr>
        <w:t> </w:t>
      </w:r>
    </w:p>
    <w:p w14:paraId="1C291EDC" w14:textId="77777777" w:rsidR="00FC1D49" w:rsidRDefault="00162F2E" w:rsidP="00FC1D4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rPr>
        <w:t> </w:t>
      </w:r>
    </w:p>
    <w:p w14:paraId="70919E95" w14:textId="77777777" w:rsidR="00FC1D49" w:rsidRDefault="00162F2E" w:rsidP="00FC1D4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 xml:space="preserve">The equivalent position at Quarter 3 was an underspend of £0.447m (after the allocation of the </w:t>
      </w:r>
      <w:r w:rsidR="0026517A">
        <w:rPr>
          <w:rStyle w:val="normaltextrun"/>
          <w:rFonts w:ascii="Arial" w:hAnsi="Arial"/>
        </w:rPr>
        <w:t>Covid-19</w:t>
      </w:r>
      <w:r>
        <w:rPr>
          <w:rStyle w:val="normaltextrun"/>
          <w:rFonts w:ascii="Arial" w:hAnsi="Arial"/>
        </w:rPr>
        <w:t xml:space="preserve"> grant monies) meaning the overall financial performance of the Directorate has moved by the non-material amount of £0.187m. The movement of £0.187m has been brought about by an underspend of £0.245m in Public Health and Wellbeing offset by an increase in overspend in Trading Standards and Scientific Support of £0.104m.</w:t>
      </w:r>
      <w:r>
        <w:rPr>
          <w:rStyle w:val="eop"/>
          <w:rFonts w:ascii="Arial" w:hAnsi="Arial"/>
        </w:rPr>
        <w:t> </w:t>
      </w:r>
    </w:p>
    <w:p w14:paraId="1D7DB0F8" w14:textId="77777777" w:rsidR="00FC1D49" w:rsidRPr="00812801" w:rsidRDefault="00FC1D49" w:rsidP="00D10794">
      <w:pPr>
        <w:spacing w:after="0"/>
        <w:rPr>
          <w:rFonts w:cs="Arial"/>
          <w:b/>
          <w:highlight w:val="yellow"/>
        </w:rPr>
      </w:pPr>
    </w:p>
    <w:p w14:paraId="79FAD0DD" w14:textId="77777777" w:rsidR="00CB4746" w:rsidRDefault="00162F2E" w:rsidP="00CB474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b/>
          <w:bCs/>
        </w:rPr>
        <w:t>Public Health and Wellbeing</w:t>
      </w:r>
    </w:p>
    <w:p w14:paraId="262BA606" w14:textId="77777777" w:rsidR="00CB4746" w:rsidRDefault="00162F2E" w:rsidP="00CB474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olor w:val="FF0000"/>
        </w:rPr>
        <w:t> </w:t>
      </w:r>
    </w:p>
    <w:p w14:paraId="738CF1D8" w14:textId="77777777" w:rsidR="00590025" w:rsidRDefault="00162F2E" w:rsidP="00CB4746">
      <w:pPr>
        <w:pStyle w:val="paragraph"/>
        <w:spacing w:before="0" w:beforeAutospacing="0" w:after="0" w:afterAutospacing="0"/>
        <w:jc w:val="both"/>
        <w:textAlignment w:val="baseline"/>
        <w:rPr>
          <w:rStyle w:val="normaltextrun"/>
          <w:rFonts w:ascii="Arial" w:hAnsi="Arial"/>
        </w:rPr>
      </w:pPr>
      <w:r>
        <w:rPr>
          <w:rStyle w:val="normaltextrun"/>
          <w:rFonts w:ascii="Arial" w:hAnsi="Arial"/>
        </w:rPr>
        <w:t xml:space="preserve">The year-end Public Health and Wellbeing budget shows a net income position greater than the budget and is therefore underspent.  The Contained Outbreak Management Fund (COMF) has been used to pay for all employee costs.  The Cost Centre usually ends the year with a breakeven balance as all unspent Public Health Grant is transferred into the reserve, however SMART Community Testing Grant has been received in 2021/22 which has resulted in an underspend for this year.  </w:t>
      </w:r>
      <w:r w:rsidRPr="00085B68">
        <w:rPr>
          <w:rStyle w:val="normaltextrun"/>
          <w:rFonts w:ascii="Arial" w:hAnsi="Arial"/>
        </w:rPr>
        <w:t>The balances on the PH Grant Reserve</w:t>
      </w:r>
      <w:r w:rsidR="0089535A" w:rsidRPr="00085B68">
        <w:rPr>
          <w:rStyle w:val="normaltextrun"/>
          <w:rFonts w:ascii="Arial" w:hAnsi="Arial"/>
        </w:rPr>
        <w:t xml:space="preserve"> </w:t>
      </w:r>
      <w:r w:rsidR="00390941">
        <w:rPr>
          <w:rStyle w:val="normaltextrun"/>
          <w:rFonts w:ascii="Arial" w:hAnsi="Arial"/>
        </w:rPr>
        <w:t>are</w:t>
      </w:r>
      <w:r w:rsidR="0089535A" w:rsidRPr="00085B68">
        <w:rPr>
          <w:rStyle w:val="normaltextrun"/>
          <w:rFonts w:ascii="Arial" w:hAnsi="Arial"/>
        </w:rPr>
        <w:t xml:space="preserve"> </w:t>
      </w:r>
      <w:r w:rsidRPr="00085B68">
        <w:rPr>
          <w:rStyle w:val="normaltextrun"/>
          <w:rFonts w:ascii="Arial" w:hAnsi="Arial"/>
        </w:rPr>
        <w:t>detailed later in this report.</w:t>
      </w:r>
    </w:p>
    <w:p w14:paraId="0126D81E" w14:textId="77777777" w:rsidR="00590025" w:rsidRDefault="00590025" w:rsidP="00CB4746">
      <w:pPr>
        <w:pStyle w:val="paragraph"/>
        <w:spacing w:before="0" w:beforeAutospacing="0" w:after="0" w:afterAutospacing="0"/>
        <w:jc w:val="both"/>
        <w:textAlignment w:val="baseline"/>
        <w:rPr>
          <w:rStyle w:val="normaltextrun"/>
          <w:rFonts w:ascii="Arial" w:hAnsi="Arial"/>
        </w:rPr>
      </w:pPr>
    </w:p>
    <w:p w14:paraId="4A3DB90F" w14:textId="77777777" w:rsidR="00031863" w:rsidRPr="00031863" w:rsidRDefault="00162F2E" w:rsidP="0003186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b/>
          <w:bCs/>
        </w:rPr>
        <w:t>Health Equity, Welfare &amp; Partnerships</w:t>
      </w:r>
    </w:p>
    <w:p w14:paraId="3CF15D33" w14:textId="77777777" w:rsidR="00031863" w:rsidRDefault="00162F2E" w:rsidP="00031863">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olor w:val="FF0000"/>
        </w:rPr>
        <w:t> </w:t>
      </w:r>
    </w:p>
    <w:p w14:paraId="12915049" w14:textId="77777777" w:rsidR="00031863" w:rsidRDefault="00162F2E" w:rsidP="0003186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rPr>
        <w:t xml:space="preserve">Although an overall overspend is reported for the service, it should be noted that this includes a contribution to the Public Health Grant Reserve for areas within the Directorate that are underspending by </w:t>
      </w:r>
      <w:r w:rsidRPr="0064282E">
        <w:rPr>
          <w:rStyle w:val="normaltextrun"/>
          <w:rFonts w:ascii="Arial" w:hAnsi="Arial" w:cs="Arial"/>
        </w:rPr>
        <w:t>£4.696m</w:t>
      </w:r>
      <w:r w:rsidR="00684B44" w:rsidRPr="0064282E">
        <w:rPr>
          <w:rStyle w:val="normaltextrun"/>
          <w:rFonts w:ascii="Arial" w:hAnsi="Arial" w:cs="Arial"/>
        </w:rPr>
        <w:t xml:space="preserve"> including</w:t>
      </w:r>
      <w:r w:rsidRPr="0064282E">
        <w:rPr>
          <w:rStyle w:val="normaltextrun"/>
          <w:rFonts w:ascii="Arial" w:hAnsi="Arial" w:cs="Arial"/>
        </w:rPr>
        <w:t xml:space="preserve"> £1.432m</w:t>
      </w:r>
      <w:r>
        <w:rPr>
          <w:rStyle w:val="normaltextrun"/>
          <w:rFonts w:ascii="Arial" w:hAnsi="Arial"/>
        </w:rPr>
        <w:t xml:space="preserve"> of costs funded by COMF grant.  As above, unspent Public Health Grant is transferred to the specific earmarked reserve to be reinvested in Public Health services in future years. </w:t>
      </w:r>
      <w:r>
        <w:rPr>
          <w:rStyle w:val="eop"/>
          <w:rFonts w:ascii="Arial" w:hAnsi="Arial"/>
        </w:rPr>
        <w:t> </w:t>
      </w:r>
    </w:p>
    <w:p w14:paraId="6BC1C36E" w14:textId="77777777" w:rsidR="00031863" w:rsidRDefault="00162F2E" w:rsidP="0003186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37334AC" w14:textId="77777777" w:rsidR="00031863" w:rsidRDefault="00162F2E" w:rsidP="0003186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 xml:space="preserve">The costs that have not been transferred to reserves and are presented as an overspend (£0.345m) are service areas not funded from the Public Health (PH) Grant and </w:t>
      </w:r>
      <w:r w:rsidR="0026517A">
        <w:rPr>
          <w:rStyle w:val="normaltextrun"/>
          <w:rFonts w:ascii="Arial" w:hAnsi="Arial"/>
        </w:rPr>
        <w:t>C</w:t>
      </w:r>
      <w:r w:rsidR="00626DB7">
        <w:rPr>
          <w:rStyle w:val="normaltextrun"/>
          <w:rFonts w:ascii="Arial" w:hAnsi="Arial"/>
        </w:rPr>
        <w:t>ovid-19</w:t>
      </w:r>
      <w:r>
        <w:rPr>
          <w:rStyle w:val="normaltextrun"/>
          <w:rFonts w:ascii="Arial" w:hAnsi="Arial"/>
        </w:rPr>
        <w:t xml:space="preserve"> costs funded by the Emergency </w:t>
      </w:r>
      <w:r w:rsidR="0026517A">
        <w:rPr>
          <w:rStyle w:val="normaltextrun"/>
          <w:rFonts w:ascii="Arial" w:hAnsi="Arial"/>
        </w:rPr>
        <w:t>C</w:t>
      </w:r>
      <w:r w:rsidR="00626DB7">
        <w:rPr>
          <w:rStyle w:val="normaltextrun"/>
          <w:rFonts w:ascii="Arial" w:hAnsi="Arial"/>
        </w:rPr>
        <w:t>ovid-19</w:t>
      </w:r>
      <w:r>
        <w:rPr>
          <w:rStyle w:val="normaltextrun"/>
          <w:rFonts w:ascii="Arial" w:hAnsi="Arial"/>
        </w:rPr>
        <w:t xml:space="preserve"> grant allocated to the Directorate below the line in the table above.  The Welfare Rights Service budget has overspent by £</w:t>
      </w:r>
      <w:r w:rsidR="0064282E">
        <w:rPr>
          <w:rStyle w:val="normaltextrun"/>
          <w:rFonts w:ascii="Arial" w:hAnsi="Arial"/>
        </w:rPr>
        <w:t>0.</w:t>
      </w:r>
      <w:r>
        <w:rPr>
          <w:rStyle w:val="normaltextrun"/>
          <w:rFonts w:ascii="Arial" w:hAnsi="Arial"/>
        </w:rPr>
        <w:t>185</w:t>
      </w:r>
      <w:r w:rsidR="0064282E">
        <w:rPr>
          <w:rStyle w:val="normaltextrun"/>
          <w:rFonts w:ascii="Arial" w:hAnsi="Arial"/>
        </w:rPr>
        <w:t>m</w:t>
      </w:r>
      <w:r>
        <w:rPr>
          <w:rStyle w:val="normaltextrun"/>
          <w:rFonts w:ascii="Arial" w:hAnsi="Arial"/>
        </w:rPr>
        <w:t xml:space="preserve"> due to a historic budget </w:t>
      </w:r>
      <w:r w:rsidR="00626DB7">
        <w:rPr>
          <w:rStyle w:val="normaltextrun"/>
          <w:rFonts w:ascii="Arial" w:hAnsi="Arial"/>
        </w:rPr>
        <w:t>pressure;</w:t>
      </w:r>
      <w:r>
        <w:rPr>
          <w:rStyle w:val="normaltextrun"/>
          <w:rFonts w:ascii="Arial" w:hAnsi="Arial"/>
        </w:rPr>
        <w:t xml:space="preserve"> this has been corrected for 2022/23.</w:t>
      </w:r>
      <w:r>
        <w:rPr>
          <w:rStyle w:val="eop"/>
          <w:rFonts w:ascii="Arial" w:hAnsi="Arial"/>
        </w:rPr>
        <w:t> </w:t>
      </w:r>
    </w:p>
    <w:p w14:paraId="75B85890" w14:textId="77777777" w:rsidR="00031863" w:rsidRDefault="00162F2E" w:rsidP="0003186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FF0000"/>
          <w:sz w:val="22"/>
          <w:szCs w:val="22"/>
        </w:rPr>
        <w:t> </w:t>
      </w:r>
    </w:p>
    <w:p w14:paraId="3C2A815A" w14:textId="77777777" w:rsidR="00195EB8" w:rsidRDefault="00162F2E" w:rsidP="00031863">
      <w:pPr>
        <w:pStyle w:val="paragraph"/>
        <w:spacing w:before="0" w:beforeAutospacing="0" w:after="0" w:afterAutospacing="0"/>
        <w:jc w:val="both"/>
        <w:textAlignment w:val="baseline"/>
        <w:rPr>
          <w:rStyle w:val="eop"/>
          <w:rFonts w:ascii="Arial" w:hAnsi="Arial"/>
          <w:color w:val="000000"/>
          <w:shd w:val="clear" w:color="auto" w:fill="FFFFFF"/>
        </w:rPr>
      </w:pPr>
      <w:r>
        <w:rPr>
          <w:rStyle w:val="normaltextrun"/>
          <w:rFonts w:ascii="Arial" w:hAnsi="Arial" w:cs="Arial"/>
          <w:color w:val="000000"/>
          <w:shd w:val="clear" w:color="auto" w:fill="FFFFFF"/>
        </w:rPr>
        <w:t xml:space="preserve">Despite the level of underspend in 2021/22, the current high rates of inflation will have a material impact on the cost of commissioned services and also internal costs from 2022/23.  This could put significant pressure on the budget when inflation is circa. </w:t>
      </w:r>
      <w:r w:rsidR="00EB723F">
        <w:rPr>
          <w:rStyle w:val="normaltextrun"/>
          <w:rFonts w:ascii="Arial" w:hAnsi="Arial" w:cs="Arial"/>
          <w:color w:val="000000"/>
          <w:shd w:val="clear" w:color="auto" w:fill="FFFFFF"/>
        </w:rPr>
        <w:t>9</w:t>
      </w:r>
      <w:r>
        <w:rPr>
          <w:rStyle w:val="normaltextrun"/>
          <w:rFonts w:ascii="Arial" w:hAnsi="Arial" w:cs="Arial"/>
          <w:color w:val="000000"/>
          <w:shd w:val="clear" w:color="auto" w:fill="FFFFFF"/>
        </w:rPr>
        <w:t>% and the increase in Public Health Grant is less than 1%.</w:t>
      </w:r>
      <w:r>
        <w:rPr>
          <w:rStyle w:val="eop"/>
          <w:rFonts w:ascii="Arial" w:hAnsi="Arial"/>
          <w:color w:val="000000"/>
          <w:shd w:val="clear" w:color="auto" w:fill="FFFFFF"/>
        </w:rPr>
        <w:t> </w:t>
      </w:r>
    </w:p>
    <w:p w14:paraId="3880728C" w14:textId="77777777" w:rsidR="00195EB8" w:rsidRDefault="00195EB8" w:rsidP="00031863">
      <w:pPr>
        <w:pStyle w:val="paragraph"/>
        <w:spacing w:before="0" w:beforeAutospacing="0" w:after="0" w:afterAutospacing="0"/>
        <w:jc w:val="both"/>
        <w:textAlignment w:val="baseline"/>
        <w:rPr>
          <w:rStyle w:val="eop"/>
          <w:rFonts w:ascii="Arial" w:hAnsi="Arial"/>
          <w:color w:val="000000"/>
          <w:shd w:val="clear" w:color="auto" w:fill="FFFFFF"/>
        </w:rPr>
      </w:pPr>
    </w:p>
    <w:p w14:paraId="32B73FC0" w14:textId="4C255595" w:rsidR="00195EB8" w:rsidRDefault="00162F2E" w:rsidP="00195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b/>
          <w:bCs/>
        </w:rPr>
        <w:t>Health, Safety &amp; Resilience</w:t>
      </w:r>
    </w:p>
    <w:p w14:paraId="3B1568E4" w14:textId="77777777" w:rsidR="00195EB8" w:rsidRDefault="00162F2E" w:rsidP="00195EB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b/>
          <w:bCs/>
          <w:color w:val="FF0000"/>
        </w:rPr>
        <w:t> </w:t>
      </w:r>
      <w:r>
        <w:rPr>
          <w:rStyle w:val="eop"/>
          <w:rFonts w:ascii="Arial" w:hAnsi="Arial"/>
          <w:color w:val="FF0000"/>
        </w:rPr>
        <w:t> </w:t>
      </w:r>
    </w:p>
    <w:p w14:paraId="3F65B8E3" w14:textId="77777777" w:rsidR="00195EB8" w:rsidRDefault="00162F2E" w:rsidP="00195EB8">
      <w:pPr>
        <w:pStyle w:val="paragraph"/>
        <w:spacing w:before="0" w:beforeAutospacing="0" w:after="0" w:afterAutospacing="0"/>
        <w:jc w:val="both"/>
        <w:textAlignment w:val="baseline"/>
        <w:rPr>
          <w:rStyle w:val="normaltextrun"/>
          <w:rFonts w:ascii="Arial" w:hAnsi="Arial"/>
        </w:rPr>
      </w:pPr>
      <w:r>
        <w:rPr>
          <w:rStyle w:val="normaltextrun"/>
          <w:rFonts w:ascii="Arial" w:hAnsi="Arial"/>
        </w:rPr>
        <w:t xml:space="preserve">The </w:t>
      </w:r>
      <w:r w:rsidR="00BE25B2">
        <w:rPr>
          <w:rStyle w:val="normaltextrun"/>
          <w:rFonts w:ascii="Arial" w:hAnsi="Arial"/>
        </w:rPr>
        <w:t>outturn</w:t>
      </w:r>
      <w:r>
        <w:rPr>
          <w:rStyle w:val="normaltextrun"/>
          <w:rFonts w:ascii="Arial" w:hAnsi="Arial"/>
        </w:rPr>
        <w:t xml:space="preserve"> position for 2021/22 is an underspend of £0.812m.  A decision has been made to attribute £0.482m staffing costs to the Contain Outbreak Management Fund (COMF) which has increased the underspend.  </w:t>
      </w:r>
    </w:p>
    <w:p w14:paraId="3C72AFEF" w14:textId="77777777" w:rsidR="00DB7690" w:rsidRDefault="00DB7690" w:rsidP="00195EB8">
      <w:pPr>
        <w:pStyle w:val="paragraph"/>
        <w:spacing w:before="0" w:beforeAutospacing="0" w:after="0" w:afterAutospacing="0"/>
        <w:jc w:val="both"/>
        <w:textAlignment w:val="baseline"/>
        <w:rPr>
          <w:rStyle w:val="normaltextrun"/>
          <w:rFonts w:ascii="Arial" w:hAnsi="Arial"/>
        </w:rPr>
      </w:pPr>
    </w:p>
    <w:p w14:paraId="16D44B01" w14:textId="77777777" w:rsidR="00DB7690" w:rsidRDefault="00162F2E" w:rsidP="00DB769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b/>
          <w:bCs/>
        </w:rPr>
        <w:t>Trading Standards &amp; Scientific Services</w:t>
      </w:r>
      <w:r>
        <w:rPr>
          <w:rStyle w:val="eop"/>
          <w:rFonts w:ascii="Arial" w:hAnsi="Arial"/>
        </w:rPr>
        <w:t> </w:t>
      </w:r>
    </w:p>
    <w:p w14:paraId="694E1D68" w14:textId="77777777" w:rsidR="00DB7690" w:rsidRDefault="00162F2E" w:rsidP="00DB769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olor w:val="FF0000"/>
        </w:rPr>
        <w:t> </w:t>
      </w:r>
    </w:p>
    <w:p w14:paraId="74CB19E3" w14:textId="77777777" w:rsidR="0084542D" w:rsidRDefault="00162F2E" w:rsidP="0084542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rPr>
        <w:t>Trading Standards &amp; Scientific Services year end position is an overspend of £0.217m (Trading Standards Underspend of £0.027m offset by Scientific Support Overspend of £0.244m). </w:t>
      </w:r>
      <w:r>
        <w:rPr>
          <w:rStyle w:val="normaltextrun"/>
          <w:rFonts w:ascii="Arial" w:hAnsi="Arial"/>
          <w:color w:val="000000"/>
        </w:rPr>
        <w:t xml:space="preserve">The Standards &amp; Scientific Services budget contains </w:t>
      </w:r>
      <w:r>
        <w:rPr>
          <w:rStyle w:val="normaltextrun"/>
          <w:rFonts w:ascii="Arial" w:hAnsi="Arial"/>
          <w:color w:val="000000"/>
        </w:rPr>
        <w:lastRenderedPageBreak/>
        <w:t>historic budget pressures that have evolved over time which have caused the variations above in Environmental Testing and Closed Landfill Sites.  </w:t>
      </w:r>
      <w:r>
        <w:rPr>
          <w:rStyle w:val="eop"/>
          <w:rFonts w:ascii="Arial" w:hAnsi="Arial"/>
          <w:color w:val="000000"/>
        </w:rPr>
        <w:t> </w:t>
      </w:r>
    </w:p>
    <w:p w14:paraId="2EAD0404" w14:textId="77777777" w:rsidR="0084542D" w:rsidRDefault="00162F2E" w:rsidP="0084542D">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olor w:val="000000"/>
        </w:rPr>
        <w:t> </w:t>
      </w:r>
    </w:p>
    <w:p w14:paraId="3E7FCC52" w14:textId="77777777" w:rsidR="0084542D" w:rsidRDefault="00162F2E" w:rsidP="0084542D">
      <w:pPr>
        <w:pStyle w:val="paragraph"/>
        <w:spacing w:before="0" w:beforeAutospacing="0" w:after="0" w:afterAutospacing="0"/>
        <w:jc w:val="both"/>
        <w:textAlignment w:val="baseline"/>
        <w:rPr>
          <w:rStyle w:val="eop"/>
          <w:rFonts w:ascii="Arial" w:hAnsi="Arial"/>
          <w:color w:val="000000"/>
        </w:rPr>
      </w:pPr>
      <w:r w:rsidRPr="552D6938">
        <w:rPr>
          <w:rStyle w:val="normaltextrun"/>
          <w:rFonts w:ascii="Arial" w:hAnsi="Arial"/>
          <w:color w:val="000000" w:themeColor="text1"/>
        </w:rPr>
        <w:t xml:space="preserve">A base </w:t>
      </w:r>
      <w:r w:rsidR="009853BA">
        <w:rPr>
          <w:rStyle w:val="normaltextrun"/>
          <w:rFonts w:ascii="Arial" w:hAnsi="Arial"/>
          <w:color w:val="000000" w:themeColor="text1"/>
        </w:rPr>
        <w:t>b</w:t>
      </w:r>
      <w:r w:rsidRPr="552D6938">
        <w:rPr>
          <w:rStyle w:val="normaltextrun"/>
          <w:rFonts w:ascii="Arial" w:hAnsi="Arial"/>
          <w:color w:val="000000" w:themeColor="text1"/>
        </w:rPr>
        <w:t xml:space="preserve">udget </w:t>
      </w:r>
      <w:r w:rsidR="009853BA">
        <w:rPr>
          <w:rStyle w:val="normaltextrun"/>
          <w:rFonts w:ascii="Arial" w:hAnsi="Arial"/>
          <w:color w:val="000000" w:themeColor="text1"/>
        </w:rPr>
        <w:t>r</w:t>
      </w:r>
      <w:r w:rsidRPr="552D6938">
        <w:rPr>
          <w:rStyle w:val="normaltextrun"/>
          <w:rFonts w:ascii="Arial" w:hAnsi="Arial"/>
          <w:color w:val="000000" w:themeColor="text1"/>
        </w:rPr>
        <w:t>eview is being undertaken and will make recommendations on what budget adjustments are required to resolve the matter.</w:t>
      </w:r>
      <w:r w:rsidRPr="552D6938">
        <w:rPr>
          <w:rStyle w:val="eop"/>
          <w:rFonts w:ascii="Arial" w:hAnsi="Arial"/>
          <w:color w:val="000000" w:themeColor="text1"/>
        </w:rPr>
        <w:t> </w:t>
      </w:r>
    </w:p>
    <w:p w14:paraId="47CE287A" w14:textId="77777777" w:rsidR="00EF7B02" w:rsidRPr="00EF7B02" w:rsidRDefault="00EF7B02" w:rsidP="00B61F72">
      <w:pPr>
        <w:autoSpaceDE/>
        <w:autoSpaceDN/>
        <w:adjustRightInd/>
        <w:spacing w:after="0"/>
        <w:textAlignment w:val="baseline"/>
        <w:rPr>
          <w:rFonts w:ascii="Segoe UI" w:eastAsia="Times New Roman" w:hAnsi="Segoe UI" w:cs="Segoe UI"/>
          <w:sz w:val="18"/>
          <w:szCs w:val="18"/>
          <w:lang w:eastAsia="en-GB"/>
        </w:rPr>
      </w:pPr>
    </w:p>
    <w:p w14:paraId="4AF39D1F" w14:textId="77777777" w:rsidR="00EF7B02" w:rsidRPr="00EF7B02" w:rsidRDefault="00162F2E" w:rsidP="00EF7B02">
      <w:pPr>
        <w:autoSpaceDE/>
        <w:autoSpaceDN/>
        <w:adjustRightInd/>
        <w:spacing w:after="0"/>
        <w:textAlignment w:val="baseline"/>
        <w:rPr>
          <w:rFonts w:ascii="Segoe UI" w:eastAsia="Times New Roman" w:hAnsi="Segoe UI" w:cs="Segoe UI"/>
          <w:sz w:val="18"/>
          <w:szCs w:val="18"/>
          <w:lang w:eastAsia="en-GB"/>
        </w:rPr>
      </w:pPr>
      <w:r w:rsidRPr="00EF7B02">
        <w:rPr>
          <w:rFonts w:eastAsia="Times New Roman" w:cs="Arial"/>
          <w:b/>
          <w:bCs/>
          <w:color w:val="auto"/>
          <w:lang w:eastAsia="en-GB"/>
        </w:rPr>
        <w:t>Public Health Reserve</w:t>
      </w:r>
      <w:r w:rsidRPr="00EF7B02">
        <w:rPr>
          <w:rFonts w:eastAsia="Times New Roman" w:cs="Arial"/>
          <w:color w:val="auto"/>
          <w:lang w:eastAsia="en-GB"/>
        </w:rPr>
        <w:t> </w:t>
      </w:r>
    </w:p>
    <w:p w14:paraId="7EDF8F11" w14:textId="77777777" w:rsidR="00EF7B02" w:rsidRPr="00EF7B02" w:rsidRDefault="00162F2E" w:rsidP="00EF7B02">
      <w:pPr>
        <w:autoSpaceDE/>
        <w:autoSpaceDN/>
        <w:adjustRightInd/>
        <w:spacing w:after="0"/>
        <w:ind w:left="135"/>
        <w:textAlignment w:val="baseline"/>
        <w:rPr>
          <w:rFonts w:ascii="Segoe UI" w:eastAsia="Times New Roman" w:hAnsi="Segoe UI" w:cs="Segoe UI"/>
          <w:sz w:val="18"/>
          <w:szCs w:val="18"/>
          <w:lang w:eastAsia="en-GB"/>
        </w:rPr>
      </w:pPr>
      <w:r w:rsidRPr="00EF7B02">
        <w:rPr>
          <w:rFonts w:eastAsia="Times New Roman" w:cs="Arial"/>
          <w:color w:val="auto"/>
          <w:lang w:eastAsia="en-GB"/>
        </w:rPr>
        <w:t> </w:t>
      </w:r>
    </w:p>
    <w:p w14:paraId="61807317" w14:textId="77777777" w:rsidR="007D0D5A" w:rsidRPr="00B61F72" w:rsidRDefault="00162F2E" w:rsidP="00EF7B02">
      <w:pPr>
        <w:autoSpaceDE/>
        <w:autoSpaceDN/>
        <w:adjustRightInd/>
        <w:spacing w:after="0"/>
        <w:textAlignment w:val="baseline"/>
        <w:rPr>
          <w:rFonts w:eastAsia="Times New Roman" w:cs="Arial"/>
          <w:color w:val="auto"/>
          <w:lang w:eastAsia="en-GB"/>
        </w:rPr>
      </w:pPr>
      <w:r w:rsidRPr="00EF7B02">
        <w:rPr>
          <w:rFonts w:eastAsia="Times New Roman" w:cs="Arial"/>
          <w:color w:val="auto"/>
          <w:lang w:eastAsia="en-GB"/>
        </w:rPr>
        <w:t>As Public Health Grant is a ring-fenced grant, any underspend of budget funded via the grant is paid into the Public Health Grant Reserves to be rolled forward into future years for one-off investments.  The amount transferred into the reserve in 2021/22 has increased in comparison to previous years due to the charging of core Public Health expenditure to the COMF grant and the impact of C</w:t>
      </w:r>
      <w:r w:rsidR="000532FD">
        <w:rPr>
          <w:rFonts w:eastAsia="Times New Roman" w:cs="Arial"/>
          <w:color w:val="auto"/>
          <w:lang w:eastAsia="en-GB"/>
        </w:rPr>
        <w:t>ovid-19</w:t>
      </w:r>
      <w:r w:rsidRPr="00EF7B02">
        <w:rPr>
          <w:rFonts w:eastAsia="Times New Roman" w:cs="Arial"/>
          <w:color w:val="auto"/>
          <w:lang w:eastAsia="en-GB"/>
        </w:rPr>
        <w:t>.   </w:t>
      </w:r>
    </w:p>
    <w:p w14:paraId="17CC1333" w14:textId="77777777" w:rsidR="007D0D5A" w:rsidRPr="00EF7B02" w:rsidRDefault="007D0D5A" w:rsidP="00EF7B02">
      <w:pPr>
        <w:autoSpaceDE/>
        <w:autoSpaceDN/>
        <w:adjustRightInd/>
        <w:spacing w:after="0"/>
        <w:textAlignment w:val="baseline"/>
        <w:rPr>
          <w:rFonts w:ascii="Segoe UI" w:eastAsia="Times New Roman" w:hAnsi="Segoe UI" w:cs="Segoe UI"/>
          <w:sz w:val="18"/>
          <w:szCs w:val="18"/>
          <w:lang w:eastAsia="en-GB"/>
        </w:rPr>
      </w:pPr>
    </w:p>
    <w:p w14:paraId="0B0936D7" w14:textId="77777777" w:rsidR="00EF7B02" w:rsidRPr="00EF7B02" w:rsidRDefault="00162F2E" w:rsidP="0025456F">
      <w:pPr>
        <w:autoSpaceDE/>
        <w:autoSpaceDN/>
        <w:adjustRightInd/>
        <w:spacing w:after="0"/>
        <w:textAlignment w:val="baseline"/>
        <w:rPr>
          <w:rFonts w:eastAsia="Times New Roman" w:cs="Arial"/>
          <w:lang w:eastAsia="en-GB"/>
        </w:rPr>
      </w:pPr>
      <w:r w:rsidRPr="00EF7B02">
        <w:rPr>
          <w:rFonts w:eastAsia="Times New Roman" w:cs="Arial"/>
          <w:color w:val="auto"/>
          <w:lang w:eastAsia="en-GB"/>
        </w:rPr>
        <w:t>The balance on the reserve provides the service with an opportunity to fund implementation and investment costs of service development and transformation and risk manage potential budgetary pressures, albeit on a temporary basis, providing extended time to balance out service demand and affordability</w:t>
      </w:r>
      <w:r w:rsidR="0089535A">
        <w:rPr>
          <w:rFonts w:eastAsia="Times New Roman" w:cs="Arial"/>
          <w:color w:val="auto"/>
          <w:lang w:eastAsia="en-GB"/>
        </w:rPr>
        <w:t>.</w:t>
      </w:r>
    </w:p>
    <w:p w14:paraId="7B898921" w14:textId="77777777" w:rsidR="00EF7B02" w:rsidRPr="00EF7B02" w:rsidRDefault="00162F2E" w:rsidP="00EF7B02">
      <w:pPr>
        <w:autoSpaceDE/>
        <w:autoSpaceDN/>
        <w:adjustRightInd/>
        <w:spacing w:after="0"/>
        <w:textAlignment w:val="baseline"/>
        <w:rPr>
          <w:rFonts w:ascii="Segoe UI" w:eastAsia="Times New Roman" w:hAnsi="Segoe UI" w:cs="Segoe UI"/>
          <w:sz w:val="18"/>
          <w:szCs w:val="18"/>
          <w:lang w:eastAsia="en-GB"/>
        </w:rPr>
      </w:pPr>
      <w:r w:rsidRPr="00EF7B02">
        <w:rPr>
          <w:rFonts w:eastAsia="Times New Roman" w:cs="Arial"/>
          <w:color w:val="auto"/>
          <w:lang w:eastAsia="en-GB"/>
        </w:rPr>
        <w:t> </w:t>
      </w:r>
    </w:p>
    <w:p w14:paraId="665EAB93" w14:textId="77777777" w:rsidR="00EF7B02" w:rsidRPr="00EF7B02" w:rsidRDefault="00162F2E" w:rsidP="00EF7B02">
      <w:pPr>
        <w:autoSpaceDE/>
        <w:autoSpaceDN/>
        <w:adjustRightInd/>
        <w:spacing w:after="0"/>
        <w:textAlignment w:val="baseline"/>
        <w:rPr>
          <w:rFonts w:ascii="Segoe UI" w:eastAsia="Times New Roman" w:hAnsi="Segoe UI" w:cs="Segoe UI"/>
          <w:sz w:val="18"/>
          <w:szCs w:val="18"/>
          <w:lang w:eastAsia="en-GB"/>
        </w:rPr>
      </w:pPr>
      <w:r w:rsidRPr="00EF7B02">
        <w:rPr>
          <w:rFonts w:eastAsia="Times New Roman" w:cs="Arial"/>
          <w:b/>
          <w:bCs/>
          <w:color w:val="auto"/>
          <w:lang w:eastAsia="en-GB"/>
        </w:rPr>
        <w:t>Public Health Grant Reserve (Earmarked) as at 31/03/2022</w:t>
      </w:r>
      <w:r w:rsidRPr="00EF7B02">
        <w:rPr>
          <w:rFonts w:eastAsia="Times New Roman" w:cs="Arial"/>
          <w:color w:val="auto"/>
          <w:lang w:eastAsia="en-GB"/>
        </w:rPr>
        <w:t> </w:t>
      </w:r>
    </w:p>
    <w:p w14:paraId="58E91884" w14:textId="77777777" w:rsidR="00EF7B02" w:rsidRPr="00EF7B02" w:rsidRDefault="00162F2E" w:rsidP="00EF7B02">
      <w:pPr>
        <w:autoSpaceDE/>
        <w:autoSpaceDN/>
        <w:adjustRightInd/>
        <w:spacing w:after="0"/>
        <w:ind w:left="135"/>
        <w:textAlignment w:val="baseline"/>
        <w:rPr>
          <w:rFonts w:ascii="Segoe UI" w:eastAsia="Times New Roman" w:hAnsi="Segoe UI" w:cs="Segoe UI"/>
          <w:sz w:val="18"/>
          <w:szCs w:val="18"/>
          <w:lang w:eastAsia="en-GB"/>
        </w:rPr>
      </w:pPr>
      <w:r w:rsidRPr="00EF7B02">
        <w:rPr>
          <w:rFonts w:eastAsia="Times New Roman" w:cs="Arial"/>
          <w:color w:val="auto"/>
          <w:lang w:eastAsia="en-GB"/>
        </w:rPr>
        <w:t>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5"/>
        <w:gridCol w:w="1575"/>
        <w:gridCol w:w="3594"/>
      </w:tblGrid>
      <w:tr w:rsidR="006E5B54" w14:paraId="4FF7125F" w14:textId="77777777" w:rsidTr="00EF7B02">
        <w:trPr>
          <w:trHeight w:val="705"/>
        </w:trPr>
        <w:tc>
          <w:tcPr>
            <w:tcW w:w="3105" w:type="dxa"/>
            <w:tcBorders>
              <w:top w:val="single" w:sz="6" w:space="0" w:color="auto"/>
              <w:left w:val="nil"/>
              <w:bottom w:val="single" w:sz="6" w:space="0" w:color="auto"/>
              <w:right w:val="nil"/>
            </w:tcBorders>
            <w:shd w:val="clear" w:color="auto" w:fill="DEEAF6"/>
            <w:vAlign w:val="center"/>
            <w:hideMark/>
          </w:tcPr>
          <w:p w14:paraId="015E724C" w14:textId="77777777" w:rsidR="00EF7B02" w:rsidRPr="00693F47" w:rsidRDefault="00162F2E" w:rsidP="00EF7B02">
            <w:pPr>
              <w:autoSpaceDE/>
              <w:autoSpaceDN/>
              <w:adjustRightInd/>
              <w:spacing w:after="0"/>
              <w:jc w:val="left"/>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 </w:t>
            </w:r>
          </w:p>
        </w:tc>
        <w:tc>
          <w:tcPr>
            <w:tcW w:w="1590" w:type="dxa"/>
            <w:tcBorders>
              <w:top w:val="single" w:sz="6" w:space="0" w:color="auto"/>
              <w:left w:val="nil"/>
              <w:bottom w:val="single" w:sz="6" w:space="0" w:color="auto"/>
              <w:right w:val="nil"/>
            </w:tcBorders>
            <w:shd w:val="clear" w:color="auto" w:fill="DEEAF6"/>
            <w:vAlign w:val="center"/>
            <w:hideMark/>
          </w:tcPr>
          <w:p w14:paraId="1F538821" w14:textId="77777777" w:rsidR="00EF7B02" w:rsidRPr="00693F47" w:rsidRDefault="00162F2E" w:rsidP="00EF7B02">
            <w:pPr>
              <w:autoSpaceDE/>
              <w:autoSpaceDN/>
              <w:adjustRightInd/>
              <w:spacing w:after="0"/>
              <w:jc w:val="center"/>
              <w:textAlignment w:val="baseline"/>
              <w:rPr>
                <w:rFonts w:eastAsia="Times New Roman" w:cs="Arial"/>
                <w:sz w:val="20"/>
                <w:szCs w:val="20"/>
                <w:lang w:eastAsia="en-GB"/>
              </w:rPr>
            </w:pPr>
            <w:r w:rsidRPr="00693F47">
              <w:rPr>
                <w:rFonts w:eastAsia="Times New Roman" w:cs="Arial"/>
                <w:b/>
                <w:bCs/>
                <w:color w:val="auto"/>
                <w:sz w:val="20"/>
                <w:szCs w:val="20"/>
                <w:lang w:eastAsia="en-GB"/>
              </w:rPr>
              <w:t>£m</w:t>
            </w:r>
            <w:r w:rsidRPr="00693F47">
              <w:rPr>
                <w:rFonts w:eastAsia="Times New Roman" w:cs="Arial"/>
                <w:color w:val="auto"/>
                <w:sz w:val="20"/>
                <w:szCs w:val="20"/>
                <w:lang w:eastAsia="en-GB"/>
              </w:rPr>
              <w:t> </w:t>
            </w:r>
          </w:p>
        </w:tc>
        <w:tc>
          <w:tcPr>
            <w:tcW w:w="3645" w:type="dxa"/>
            <w:tcBorders>
              <w:top w:val="single" w:sz="6" w:space="0" w:color="auto"/>
              <w:left w:val="nil"/>
              <w:bottom w:val="single" w:sz="6" w:space="0" w:color="auto"/>
              <w:right w:val="nil"/>
            </w:tcBorders>
            <w:shd w:val="clear" w:color="auto" w:fill="DEEAF6"/>
            <w:vAlign w:val="center"/>
            <w:hideMark/>
          </w:tcPr>
          <w:p w14:paraId="629A2E82" w14:textId="77777777" w:rsidR="00EF7B02" w:rsidRPr="00693F47" w:rsidRDefault="00162F2E" w:rsidP="00EF7B02">
            <w:pPr>
              <w:autoSpaceDE/>
              <w:autoSpaceDN/>
              <w:adjustRightInd/>
              <w:spacing w:after="0"/>
              <w:jc w:val="left"/>
              <w:textAlignment w:val="baseline"/>
              <w:rPr>
                <w:rFonts w:ascii="Times New Roman" w:eastAsia="Times New Roman" w:hAnsi="Times New Roman" w:cs="Times New Roman"/>
                <w:sz w:val="20"/>
                <w:szCs w:val="20"/>
                <w:lang w:eastAsia="en-GB"/>
              </w:rPr>
            </w:pPr>
            <w:r w:rsidRPr="00693F47">
              <w:rPr>
                <w:rFonts w:eastAsia="Times New Roman" w:cs="Arial"/>
                <w:b/>
                <w:bCs/>
                <w:color w:val="auto"/>
                <w:sz w:val="20"/>
                <w:szCs w:val="20"/>
                <w:lang w:eastAsia="en-GB"/>
              </w:rPr>
              <w:t>Note</w:t>
            </w:r>
            <w:r w:rsidRPr="00693F47">
              <w:rPr>
                <w:rFonts w:eastAsia="Times New Roman" w:cs="Arial"/>
                <w:color w:val="auto"/>
                <w:sz w:val="20"/>
                <w:szCs w:val="20"/>
                <w:lang w:eastAsia="en-GB"/>
              </w:rPr>
              <w:t> </w:t>
            </w:r>
          </w:p>
        </w:tc>
      </w:tr>
      <w:tr w:rsidR="006E5B54" w14:paraId="19005D28" w14:textId="77777777" w:rsidTr="00EF7B02">
        <w:tc>
          <w:tcPr>
            <w:tcW w:w="3105" w:type="dxa"/>
            <w:tcBorders>
              <w:top w:val="single" w:sz="6" w:space="0" w:color="auto"/>
              <w:left w:val="nil"/>
              <w:bottom w:val="single" w:sz="6" w:space="0" w:color="auto"/>
              <w:right w:val="nil"/>
            </w:tcBorders>
            <w:shd w:val="clear" w:color="auto" w:fill="F2F2F2"/>
            <w:vAlign w:val="center"/>
            <w:hideMark/>
          </w:tcPr>
          <w:p w14:paraId="5488A046" w14:textId="77777777" w:rsidR="00EF7B02" w:rsidRPr="00693F47" w:rsidRDefault="00162F2E" w:rsidP="00EF7B02">
            <w:pPr>
              <w:autoSpaceDE/>
              <w:autoSpaceDN/>
              <w:adjustRightInd/>
              <w:spacing w:after="0"/>
              <w:jc w:val="left"/>
              <w:textAlignment w:val="baseline"/>
              <w:rPr>
                <w:rFonts w:ascii="Times New Roman" w:eastAsia="Times New Roman" w:hAnsi="Times New Roman" w:cs="Times New Roman"/>
                <w:sz w:val="20"/>
                <w:szCs w:val="20"/>
                <w:lang w:eastAsia="en-GB"/>
              </w:rPr>
            </w:pPr>
            <w:r w:rsidRPr="00693F47">
              <w:rPr>
                <w:rFonts w:eastAsia="Times New Roman" w:cs="Arial"/>
                <w:b/>
                <w:bCs/>
                <w:color w:val="auto"/>
                <w:sz w:val="20"/>
                <w:szCs w:val="20"/>
                <w:lang w:eastAsia="en-GB"/>
              </w:rPr>
              <w:t>Opening Balance as at 01/04/2021</w:t>
            </w:r>
            <w:r w:rsidRPr="00693F47">
              <w:rPr>
                <w:rFonts w:eastAsia="Times New Roman" w:cs="Arial"/>
                <w:color w:val="auto"/>
                <w:sz w:val="20"/>
                <w:szCs w:val="20"/>
                <w:lang w:eastAsia="en-GB"/>
              </w:rPr>
              <w:t> </w:t>
            </w:r>
          </w:p>
        </w:tc>
        <w:tc>
          <w:tcPr>
            <w:tcW w:w="1590" w:type="dxa"/>
            <w:tcBorders>
              <w:top w:val="single" w:sz="6" w:space="0" w:color="auto"/>
              <w:left w:val="nil"/>
              <w:bottom w:val="single" w:sz="6" w:space="0" w:color="auto"/>
              <w:right w:val="nil"/>
            </w:tcBorders>
            <w:shd w:val="clear" w:color="auto" w:fill="F2F2F2"/>
            <w:vAlign w:val="center"/>
            <w:hideMark/>
          </w:tcPr>
          <w:p w14:paraId="18798E80" w14:textId="77777777" w:rsidR="00EF7B02" w:rsidRPr="00693F47" w:rsidRDefault="00162F2E" w:rsidP="00EF7B02">
            <w:pPr>
              <w:autoSpaceDE/>
              <w:autoSpaceDN/>
              <w:adjustRightInd/>
              <w:spacing w:after="0"/>
              <w:ind w:right="195"/>
              <w:jc w:val="right"/>
              <w:textAlignment w:val="baseline"/>
              <w:rPr>
                <w:rFonts w:ascii="Times New Roman" w:eastAsia="Times New Roman" w:hAnsi="Times New Roman" w:cs="Times New Roman"/>
                <w:color w:val="auto"/>
                <w:sz w:val="20"/>
                <w:szCs w:val="20"/>
                <w:lang w:eastAsia="en-GB"/>
              </w:rPr>
            </w:pPr>
            <w:r w:rsidRPr="00693F47">
              <w:rPr>
                <w:rFonts w:eastAsia="Times New Roman" w:cs="Arial"/>
                <w:b/>
                <w:bCs/>
                <w:color w:val="auto"/>
                <w:sz w:val="20"/>
                <w:szCs w:val="20"/>
                <w:lang w:eastAsia="en-GB"/>
              </w:rPr>
              <w:t>-8.693</w:t>
            </w:r>
            <w:r w:rsidRPr="00693F47">
              <w:rPr>
                <w:rFonts w:eastAsia="Times New Roman" w:cs="Arial"/>
                <w:color w:val="auto"/>
                <w:sz w:val="20"/>
                <w:szCs w:val="20"/>
                <w:lang w:eastAsia="en-GB"/>
              </w:rPr>
              <w:t> </w:t>
            </w:r>
          </w:p>
        </w:tc>
        <w:tc>
          <w:tcPr>
            <w:tcW w:w="3645" w:type="dxa"/>
            <w:tcBorders>
              <w:top w:val="single" w:sz="6" w:space="0" w:color="auto"/>
              <w:left w:val="nil"/>
              <w:bottom w:val="single" w:sz="6" w:space="0" w:color="auto"/>
              <w:right w:val="nil"/>
            </w:tcBorders>
            <w:shd w:val="clear" w:color="auto" w:fill="F2F2F2"/>
            <w:hideMark/>
          </w:tcPr>
          <w:p w14:paraId="0A5C7BA7" w14:textId="77777777" w:rsidR="00EF7B02" w:rsidRPr="00693F47" w:rsidRDefault="00162F2E" w:rsidP="00EF7B02">
            <w:pPr>
              <w:autoSpaceDE/>
              <w:autoSpaceDN/>
              <w:adjustRightInd/>
              <w:spacing w:after="0"/>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 </w:t>
            </w:r>
          </w:p>
        </w:tc>
      </w:tr>
      <w:tr w:rsidR="006E5B54" w14:paraId="3E916DDE" w14:textId="77777777" w:rsidTr="00EF7B02">
        <w:tc>
          <w:tcPr>
            <w:tcW w:w="3105" w:type="dxa"/>
            <w:tcBorders>
              <w:top w:val="single" w:sz="6" w:space="0" w:color="auto"/>
              <w:left w:val="nil"/>
              <w:bottom w:val="single" w:sz="6" w:space="0" w:color="auto"/>
              <w:right w:val="nil"/>
            </w:tcBorders>
            <w:shd w:val="clear" w:color="auto" w:fill="auto"/>
            <w:vAlign w:val="center"/>
            <w:hideMark/>
          </w:tcPr>
          <w:p w14:paraId="3E0296CE" w14:textId="77777777" w:rsidR="00EF7B02" w:rsidRPr="00693F47" w:rsidRDefault="00162F2E" w:rsidP="00EF7B02">
            <w:pPr>
              <w:autoSpaceDE/>
              <w:autoSpaceDN/>
              <w:adjustRightInd/>
              <w:spacing w:after="0"/>
              <w:jc w:val="left"/>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Contributions in during 2021/22 </w:t>
            </w:r>
          </w:p>
        </w:tc>
        <w:tc>
          <w:tcPr>
            <w:tcW w:w="1590" w:type="dxa"/>
            <w:tcBorders>
              <w:top w:val="single" w:sz="6" w:space="0" w:color="auto"/>
              <w:left w:val="nil"/>
              <w:bottom w:val="single" w:sz="6" w:space="0" w:color="auto"/>
              <w:right w:val="nil"/>
            </w:tcBorders>
            <w:shd w:val="clear" w:color="auto" w:fill="auto"/>
            <w:vAlign w:val="center"/>
            <w:hideMark/>
          </w:tcPr>
          <w:p w14:paraId="04603D6C" w14:textId="77777777" w:rsidR="00EF7B02" w:rsidRPr="00693F47" w:rsidRDefault="00162F2E" w:rsidP="00EF7B02">
            <w:pPr>
              <w:autoSpaceDE/>
              <w:autoSpaceDN/>
              <w:adjustRightInd/>
              <w:spacing w:after="0"/>
              <w:ind w:right="195"/>
              <w:jc w:val="right"/>
              <w:textAlignment w:val="baseline"/>
              <w:rPr>
                <w:rFonts w:ascii="Times New Roman" w:eastAsia="Times New Roman" w:hAnsi="Times New Roman" w:cs="Times New Roman"/>
                <w:color w:val="auto"/>
                <w:sz w:val="20"/>
                <w:szCs w:val="20"/>
                <w:lang w:eastAsia="en-GB"/>
              </w:rPr>
            </w:pPr>
            <w:r w:rsidRPr="00693F47">
              <w:rPr>
                <w:rFonts w:eastAsia="Times New Roman" w:cs="Arial"/>
                <w:color w:val="auto"/>
                <w:sz w:val="20"/>
                <w:szCs w:val="20"/>
                <w:lang w:eastAsia="en-GB"/>
              </w:rPr>
              <w:t>-7.597 </w:t>
            </w:r>
          </w:p>
        </w:tc>
        <w:tc>
          <w:tcPr>
            <w:tcW w:w="3645" w:type="dxa"/>
            <w:tcBorders>
              <w:top w:val="single" w:sz="6" w:space="0" w:color="auto"/>
              <w:left w:val="nil"/>
              <w:bottom w:val="single" w:sz="6" w:space="0" w:color="auto"/>
              <w:right w:val="nil"/>
            </w:tcBorders>
            <w:shd w:val="clear" w:color="auto" w:fill="auto"/>
            <w:hideMark/>
          </w:tcPr>
          <w:p w14:paraId="7B2110E0" w14:textId="77777777" w:rsidR="00EF7B02" w:rsidRPr="00693F47" w:rsidRDefault="00162F2E" w:rsidP="00EF7B02">
            <w:pPr>
              <w:autoSpaceDE/>
              <w:autoSpaceDN/>
              <w:adjustRightInd/>
              <w:spacing w:after="0"/>
              <w:jc w:val="left"/>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Underspent and uncommitted grant paid into Reserve </w:t>
            </w:r>
          </w:p>
        </w:tc>
      </w:tr>
      <w:tr w:rsidR="006E5B54" w14:paraId="52238CFC" w14:textId="77777777" w:rsidTr="00EF7B02">
        <w:tc>
          <w:tcPr>
            <w:tcW w:w="3105" w:type="dxa"/>
            <w:tcBorders>
              <w:top w:val="single" w:sz="6" w:space="0" w:color="auto"/>
              <w:left w:val="nil"/>
              <w:bottom w:val="single" w:sz="6" w:space="0" w:color="auto"/>
              <w:right w:val="nil"/>
            </w:tcBorders>
            <w:shd w:val="clear" w:color="auto" w:fill="auto"/>
            <w:vAlign w:val="center"/>
            <w:hideMark/>
          </w:tcPr>
          <w:p w14:paraId="6C30A74D" w14:textId="77777777" w:rsidR="00EF7B02" w:rsidRPr="00693F47" w:rsidRDefault="00162F2E" w:rsidP="00EF7B02">
            <w:pPr>
              <w:autoSpaceDE/>
              <w:autoSpaceDN/>
              <w:adjustRightInd/>
              <w:spacing w:after="0"/>
              <w:jc w:val="left"/>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Transfer Out of PH Grant Reserve </w:t>
            </w:r>
          </w:p>
        </w:tc>
        <w:tc>
          <w:tcPr>
            <w:tcW w:w="1590" w:type="dxa"/>
            <w:tcBorders>
              <w:top w:val="single" w:sz="6" w:space="0" w:color="auto"/>
              <w:left w:val="nil"/>
              <w:bottom w:val="single" w:sz="6" w:space="0" w:color="auto"/>
              <w:right w:val="nil"/>
            </w:tcBorders>
            <w:shd w:val="clear" w:color="auto" w:fill="auto"/>
            <w:vAlign w:val="center"/>
            <w:hideMark/>
          </w:tcPr>
          <w:p w14:paraId="218F2405" w14:textId="77777777" w:rsidR="00EF7B02" w:rsidRPr="00693F47" w:rsidRDefault="00162F2E" w:rsidP="00EF7B02">
            <w:pPr>
              <w:autoSpaceDE/>
              <w:autoSpaceDN/>
              <w:adjustRightInd/>
              <w:spacing w:after="0"/>
              <w:ind w:right="195"/>
              <w:jc w:val="right"/>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0.100 </w:t>
            </w:r>
          </w:p>
        </w:tc>
        <w:tc>
          <w:tcPr>
            <w:tcW w:w="3645" w:type="dxa"/>
            <w:tcBorders>
              <w:top w:val="single" w:sz="6" w:space="0" w:color="auto"/>
              <w:left w:val="nil"/>
              <w:bottom w:val="single" w:sz="6" w:space="0" w:color="auto"/>
              <w:right w:val="nil"/>
            </w:tcBorders>
            <w:shd w:val="clear" w:color="auto" w:fill="auto"/>
            <w:hideMark/>
          </w:tcPr>
          <w:p w14:paraId="0B658ECA" w14:textId="77777777" w:rsidR="00EF7B02" w:rsidRPr="00693F47" w:rsidRDefault="00162F2E" w:rsidP="00EF7B02">
            <w:pPr>
              <w:autoSpaceDE/>
              <w:autoSpaceDN/>
              <w:adjustRightInd/>
              <w:spacing w:after="0"/>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Transfer of £100k to fund Best Start in Life Scheme in 2022/23 </w:t>
            </w:r>
          </w:p>
        </w:tc>
      </w:tr>
      <w:tr w:rsidR="006E5B54" w14:paraId="41A16C15" w14:textId="77777777" w:rsidTr="00EF7B02">
        <w:tc>
          <w:tcPr>
            <w:tcW w:w="3105" w:type="dxa"/>
            <w:tcBorders>
              <w:top w:val="single" w:sz="6" w:space="0" w:color="auto"/>
              <w:left w:val="nil"/>
              <w:bottom w:val="single" w:sz="6" w:space="0" w:color="auto"/>
              <w:right w:val="nil"/>
            </w:tcBorders>
            <w:shd w:val="clear" w:color="auto" w:fill="auto"/>
            <w:vAlign w:val="center"/>
            <w:hideMark/>
          </w:tcPr>
          <w:p w14:paraId="38E482D4" w14:textId="77777777" w:rsidR="00EF7B02" w:rsidRPr="00693F47" w:rsidRDefault="00162F2E" w:rsidP="00EF7B02">
            <w:pPr>
              <w:autoSpaceDE/>
              <w:autoSpaceDN/>
              <w:adjustRightInd/>
              <w:spacing w:after="0"/>
              <w:jc w:val="left"/>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Transfer Out of PH Grant Reserve </w:t>
            </w:r>
          </w:p>
        </w:tc>
        <w:tc>
          <w:tcPr>
            <w:tcW w:w="1590" w:type="dxa"/>
            <w:tcBorders>
              <w:top w:val="single" w:sz="6" w:space="0" w:color="auto"/>
              <w:left w:val="nil"/>
              <w:bottom w:val="single" w:sz="6" w:space="0" w:color="auto"/>
              <w:right w:val="nil"/>
            </w:tcBorders>
            <w:shd w:val="clear" w:color="auto" w:fill="auto"/>
            <w:vAlign w:val="center"/>
            <w:hideMark/>
          </w:tcPr>
          <w:p w14:paraId="317BCC58" w14:textId="77777777" w:rsidR="00EF7B02" w:rsidRPr="00693F47" w:rsidRDefault="00162F2E" w:rsidP="00EF7B02">
            <w:pPr>
              <w:autoSpaceDE/>
              <w:autoSpaceDN/>
              <w:adjustRightInd/>
              <w:spacing w:after="0"/>
              <w:ind w:right="195"/>
              <w:jc w:val="right"/>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0.100 </w:t>
            </w:r>
          </w:p>
        </w:tc>
        <w:tc>
          <w:tcPr>
            <w:tcW w:w="3645" w:type="dxa"/>
            <w:tcBorders>
              <w:top w:val="single" w:sz="6" w:space="0" w:color="auto"/>
              <w:left w:val="nil"/>
              <w:bottom w:val="single" w:sz="6" w:space="0" w:color="auto"/>
              <w:right w:val="nil"/>
            </w:tcBorders>
            <w:shd w:val="clear" w:color="auto" w:fill="auto"/>
            <w:hideMark/>
          </w:tcPr>
          <w:p w14:paraId="755B10D3" w14:textId="77777777" w:rsidR="00EF7B02" w:rsidRPr="00693F47" w:rsidRDefault="00162F2E" w:rsidP="00EF7B02">
            <w:pPr>
              <w:autoSpaceDE/>
              <w:autoSpaceDN/>
              <w:adjustRightInd/>
              <w:spacing w:after="0"/>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Transfer of £100k to fund Social Isolation Initiative in 2022/23 </w:t>
            </w:r>
          </w:p>
        </w:tc>
      </w:tr>
      <w:tr w:rsidR="006E5B54" w14:paraId="0AF36C3F" w14:textId="77777777" w:rsidTr="00EF7B02">
        <w:trPr>
          <w:trHeight w:val="525"/>
        </w:trPr>
        <w:tc>
          <w:tcPr>
            <w:tcW w:w="3105" w:type="dxa"/>
            <w:tcBorders>
              <w:top w:val="single" w:sz="6" w:space="0" w:color="auto"/>
              <w:left w:val="nil"/>
              <w:bottom w:val="single" w:sz="6" w:space="0" w:color="auto"/>
              <w:right w:val="nil"/>
            </w:tcBorders>
            <w:shd w:val="clear" w:color="auto" w:fill="D9D9D9"/>
            <w:vAlign w:val="center"/>
            <w:hideMark/>
          </w:tcPr>
          <w:p w14:paraId="68BC3E2A" w14:textId="77777777" w:rsidR="00EF7B02" w:rsidRPr="00693F47" w:rsidRDefault="00162F2E" w:rsidP="00EF7B02">
            <w:pPr>
              <w:autoSpaceDE/>
              <w:autoSpaceDN/>
              <w:adjustRightInd/>
              <w:spacing w:after="0"/>
              <w:jc w:val="left"/>
              <w:textAlignment w:val="baseline"/>
              <w:rPr>
                <w:rFonts w:ascii="Times New Roman" w:eastAsia="Times New Roman" w:hAnsi="Times New Roman" w:cs="Times New Roman"/>
                <w:sz w:val="20"/>
                <w:szCs w:val="20"/>
                <w:lang w:eastAsia="en-GB"/>
              </w:rPr>
            </w:pPr>
            <w:r w:rsidRPr="00693F47">
              <w:rPr>
                <w:rFonts w:eastAsia="Times New Roman" w:cs="Arial"/>
                <w:b/>
                <w:bCs/>
                <w:color w:val="auto"/>
                <w:sz w:val="20"/>
                <w:szCs w:val="20"/>
                <w:lang w:eastAsia="en-GB"/>
              </w:rPr>
              <w:t>Closing Balance as at 31/03/2022</w:t>
            </w:r>
            <w:r w:rsidRPr="00693F47">
              <w:rPr>
                <w:rFonts w:eastAsia="Times New Roman" w:cs="Arial"/>
                <w:color w:val="auto"/>
                <w:sz w:val="20"/>
                <w:szCs w:val="20"/>
                <w:lang w:eastAsia="en-GB"/>
              </w:rPr>
              <w:t> </w:t>
            </w:r>
          </w:p>
        </w:tc>
        <w:tc>
          <w:tcPr>
            <w:tcW w:w="1590" w:type="dxa"/>
            <w:tcBorders>
              <w:top w:val="single" w:sz="6" w:space="0" w:color="auto"/>
              <w:left w:val="nil"/>
              <w:bottom w:val="single" w:sz="6" w:space="0" w:color="auto"/>
              <w:right w:val="nil"/>
            </w:tcBorders>
            <w:shd w:val="clear" w:color="auto" w:fill="D9D9D9"/>
            <w:vAlign w:val="center"/>
            <w:hideMark/>
          </w:tcPr>
          <w:p w14:paraId="18A9B79D" w14:textId="77777777" w:rsidR="00EF7B02" w:rsidRPr="00693F47" w:rsidRDefault="00162F2E" w:rsidP="00EF7B02">
            <w:pPr>
              <w:autoSpaceDE/>
              <w:autoSpaceDN/>
              <w:adjustRightInd/>
              <w:spacing w:after="0"/>
              <w:ind w:right="195"/>
              <w:jc w:val="right"/>
              <w:textAlignment w:val="baseline"/>
              <w:rPr>
                <w:rFonts w:ascii="Times New Roman" w:eastAsia="Times New Roman" w:hAnsi="Times New Roman" w:cs="Times New Roman"/>
                <w:color w:val="auto"/>
                <w:sz w:val="20"/>
                <w:szCs w:val="20"/>
                <w:lang w:eastAsia="en-GB"/>
              </w:rPr>
            </w:pPr>
            <w:r w:rsidRPr="00693F47">
              <w:rPr>
                <w:rFonts w:eastAsia="Times New Roman" w:cs="Arial"/>
                <w:b/>
                <w:bCs/>
                <w:color w:val="auto"/>
                <w:sz w:val="20"/>
                <w:szCs w:val="20"/>
                <w:lang w:eastAsia="en-GB"/>
              </w:rPr>
              <w:t>-16.090</w:t>
            </w:r>
            <w:r w:rsidRPr="00693F47">
              <w:rPr>
                <w:rFonts w:eastAsia="Times New Roman" w:cs="Arial"/>
                <w:color w:val="auto"/>
                <w:sz w:val="20"/>
                <w:szCs w:val="20"/>
                <w:lang w:eastAsia="en-GB"/>
              </w:rPr>
              <w:t> </w:t>
            </w:r>
          </w:p>
        </w:tc>
        <w:tc>
          <w:tcPr>
            <w:tcW w:w="3645" w:type="dxa"/>
            <w:tcBorders>
              <w:top w:val="single" w:sz="6" w:space="0" w:color="auto"/>
              <w:left w:val="nil"/>
              <w:bottom w:val="single" w:sz="6" w:space="0" w:color="auto"/>
              <w:right w:val="nil"/>
            </w:tcBorders>
            <w:shd w:val="clear" w:color="auto" w:fill="D9D9D9"/>
            <w:hideMark/>
          </w:tcPr>
          <w:p w14:paraId="41F5BA28" w14:textId="77777777" w:rsidR="00EF7B02" w:rsidRPr="00693F47" w:rsidRDefault="00162F2E" w:rsidP="00EF7B02">
            <w:pPr>
              <w:autoSpaceDE/>
              <w:autoSpaceDN/>
              <w:adjustRightInd/>
              <w:spacing w:after="0"/>
              <w:textAlignment w:val="baseline"/>
              <w:rPr>
                <w:rFonts w:ascii="Times New Roman" w:eastAsia="Times New Roman" w:hAnsi="Times New Roman" w:cs="Times New Roman"/>
                <w:sz w:val="20"/>
                <w:szCs w:val="20"/>
                <w:lang w:eastAsia="en-GB"/>
              </w:rPr>
            </w:pPr>
            <w:r w:rsidRPr="00693F47">
              <w:rPr>
                <w:rFonts w:eastAsia="Times New Roman" w:cs="Arial"/>
                <w:color w:val="auto"/>
                <w:sz w:val="20"/>
                <w:szCs w:val="20"/>
                <w:lang w:eastAsia="en-GB"/>
              </w:rPr>
              <w:t> </w:t>
            </w:r>
          </w:p>
        </w:tc>
      </w:tr>
    </w:tbl>
    <w:p w14:paraId="213C8BBC" w14:textId="75E5B8AC" w:rsidR="00EF7B02" w:rsidRPr="00EF7B02" w:rsidRDefault="00162F2E" w:rsidP="00642D26">
      <w:pPr>
        <w:autoSpaceDE/>
        <w:autoSpaceDN/>
        <w:adjustRightInd/>
        <w:spacing w:after="0"/>
        <w:ind w:left="135"/>
        <w:textAlignment w:val="baseline"/>
        <w:rPr>
          <w:rFonts w:ascii="Segoe UI" w:eastAsia="Times New Roman" w:hAnsi="Segoe UI" w:cs="Segoe UI"/>
          <w:sz w:val="18"/>
          <w:szCs w:val="18"/>
          <w:lang w:eastAsia="en-GB"/>
        </w:rPr>
      </w:pPr>
      <w:r w:rsidRPr="00EF7B02">
        <w:rPr>
          <w:rFonts w:eastAsia="Times New Roman" w:cs="Arial"/>
          <w:color w:val="FF0000"/>
          <w:lang w:eastAsia="en-GB"/>
        </w:rPr>
        <w:t> </w:t>
      </w:r>
    </w:p>
    <w:p w14:paraId="2AC95C87" w14:textId="77777777" w:rsidR="00EF7B02" w:rsidRPr="00EF7B02" w:rsidRDefault="00162F2E" w:rsidP="00642D26">
      <w:pPr>
        <w:autoSpaceDE/>
        <w:autoSpaceDN/>
        <w:adjustRightInd/>
        <w:spacing w:after="0"/>
        <w:textAlignment w:val="baseline"/>
        <w:rPr>
          <w:rFonts w:ascii="Segoe UI" w:eastAsia="Times New Roman" w:hAnsi="Segoe UI" w:cs="Segoe UI"/>
          <w:sz w:val="18"/>
          <w:szCs w:val="18"/>
          <w:lang w:eastAsia="en-GB"/>
        </w:rPr>
      </w:pPr>
      <w:r w:rsidRPr="00EF7B02">
        <w:rPr>
          <w:rFonts w:eastAsia="Times New Roman" w:cs="Arial"/>
          <w:color w:val="auto"/>
          <w:lang w:eastAsia="en-GB"/>
        </w:rPr>
        <w:t xml:space="preserve">Please note that the level of reserves available for drawdown (uncommitted) in 2022/23 is less than the balance as at 31/03/2022 as there are already several significant </w:t>
      </w:r>
      <w:r w:rsidR="00A46122">
        <w:rPr>
          <w:rFonts w:eastAsia="Times New Roman" w:cs="Arial"/>
          <w:color w:val="auto"/>
          <w:lang w:eastAsia="en-GB"/>
        </w:rPr>
        <w:t xml:space="preserve">anticipated </w:t>
      </w:r>
      <w:r w:rsidRPr="00EF7B02">
        <w:rPr>
          <w:rFonts w:eastAsia="Times New Roman" w:cs="Arial"/>
          <w:color w:val="auto"/>
          <w:lang w:eastAsia="en-GB"/>
        </w:rPr>
        <w:t>commitments such as previous contract variations during the interim period to re-tendering. </w:t>
      </w:r>
    </w:p>
    <w:p w14:paraId="4061BB9D" w14:textId="2CB10DDB" w:rsidR="00EF7B02" w:rsidRPr="00EF7B02" w:rsidRDefault="00162F2E" w:rsidP="00642D26">
      <w:pPr>
        <w:autoSpaceDE/>
        <w:autoSpaceDN/>
        <w:adjustRightInd/>
        <w:spacing w:after="0"/>
        <w:ind w:left="135"/>
        <w:textAlignment w:val="baseline"/>
        <w:rPr>
          <w:rFonts w:ascii="Segoe UI" w:eastAsia="Times New Roman" w:hAnsi="Segoe UI" w:cs="Segoe UI"/>
          <w:sz w:val="18"/>
          <w:szCs w:val="18"/>
          <w:lang w:eastAsia="en-GB"/>
        </w:rPr>
      </w:pPr>
      <w:r w:rsidRPr="00EF7B02">
        <w:rPr>
          <w:rFonts w:eastAsia="Times New Roman" w:cs="Arial"/>
          <w:color w:val="FF0000"/>
          <w:lang w:eastAsia="en-GB"/>
        </w:rPr>
        <w:t> </w:t>
      </w:r>
    </w:p>
    <w:p w14:paraId="00675F63" w14:textId="77777777" w:rsidR="00EF7B02" w:rsidRPr="00EF7B02" w:rsidRDefault="00162F2E" w:rsidP="00392EC8">
      <w:pPr>
        <w:autoSpaceDE/>
        <w:autoSpaceDN/>
        <w:adjustRightInd/>
        <w:spacing w:after="0"/>
        <w:jc w:val="left"/>
        <w:textAlignment w:val="baseline"/>
        <w:rPr>
          <w:rFonts w:ascii="Segoe UI" w:eastAsia="Times New Roman" w:hAnsi="Segoe UI" w:cs="Segoe UI"/>
          <w:sz w:val="18"/>
          <w:szCs w:val="18"/>
          <w:lang w:eastAsia="en-GB"/>
        </w:rPr>
      </w:pPr>
      <w:r w:rsidRPr="00EF7B02">
        <w:rPr>
          <w:rFonts w:eastAsia="Times New Roman" w:cs="Arial"/>
          <w:b/>
          <w:bCs/>
          <w:color w:val="auto"/>
          <w:lang w:eastAsia="en-GB"/>
        </w:rPr>
        <w:t>Contained Outbreak Management Fund (COMF) and Test and Trace Reserve</w:t>
      </w:r>
      <w:r w:rsidRPr="00EF7B02">
        <w:rPr>
          <w:rFonts w:eastAsia="Times New Roman" w:cs="Arial"/>
          <w:color w:val="auto"/>
          <w:lang w:eastAsia="en-GB"/>
        </w:rPr>
        <w:t> </w:t>
      </w:r>
    </w:p>
    <w:p w14:paraId="18C31B47" w14:textId="77777777" w:rsidR="00EF7B02" w:rsidRPr="00EF7B02" w:rsidRDefault="00162F2E" w:rsidP="00EF7B02">
      <w:pPr>
        <w:autoSpaceDE/>
        <w:autoSpaceDN/>
        <w:adjustRightInd/>
        <w:spacing w:after="0"/>
        <w:textAlignment w:val="baseline"/>
        <w:rPr>
          <w:rFonts w:ascii="Segoe UI" w:eastAsia="Times New Roman" w:hAnsi="Segoe UI" w:cs="Segoe UI"/>
          <w:sz w:val="18"/>
          <w:szCs w:val="18"/>
          <w:lang w:eastAsia="en-GB"/>
        </w:rPr>
      </w:pPr>
      <w:r w:rsidRPr="00EF7B02">
        <w:rPr>
          <w:rFonts w:eastAsia="Times New Roman" w:cs="Arial"/>
          <w:color w:val="auto"/>
          <w:lang w:eastAsia="en-GB"/>
        </w:rPr>
        <w:t> </w:t>
      </w:r>
    </w:p>
    <w:p w14:paraId="0FFA431F" w14:textId="77777777" w:rsidR="00EF7B02" w:rsidRDefault="00162F2E" w:rsidP="00EF7B02">
      <w:pPr>
        <w:autoSpaceDE/>
        <w:autoSpaceDN/>
        <w:adjustRightInd/>
        <w:spacing w:after="0"/>
        <w:textAlignment w:val="baseline"/>
        <w:rPr>
          <w:rFonts w:eastAsia="Times New Roman" w:cs="Arial"/>
          <w:color w:val="auto"/>
          <w:lang w:eastAsia="en-GB"/>
        </w:rPr>
      </w:pPr>
      <w:r w:rsidRPr="00EF7B02">
        <w:rPr>
          <w:rFonts w:eastAsia="Times New Roman" w:cs="Arial"/>
          <w:color w:val="auto"/>
          <w:lang w:eastAsia="en-GB"/>
        </w:rPr>
        <w:t>The table below provide</w:t>
      </w:r>
      <w:r w:rsidR="00862D0B">
        <w:rPr>
          <w:rFonts w:eastAsia="Times New Roman" w:cs="Arial"/>
          <w:color w:val="auto"/>
          <w:lang w:eastAsia="en-GB"/>
        </w:rPr>
        <w:t>s</w:t>
      </w:r>
      <w:r w:rsidRPr="00EF7B02">
        <w:rPr>
          <w:rFonts w:eastAsia="Times New Roman" w:cs="Arial"/>
          <w:color w:val="auto"/>
          <w:lang w:eastAsia="en-GB"/>
        </w:rPr>
        <w:t xml:space="preserve"> a financial summary of the grant received from 2020/21.  As far as Central Government is concerned the two grants are now combined so the </w:t>
      </w:r>
      <w:r w:rsidR="00392EC8">
        <w:rPr>
          <w:rFonts w:eastAsia="Times New Roman" w:cs="Arial"/>
          <w:color w:val="auto"/>
          <w:lang w:eastAsia="en-GB"/>
        </w:rPr>
        <w:t xml:space="preserve">closing </w:t>
      </w:r>
      <w:r w:rsidRPr="00EF7B02">
        <w:rPr>
          <w:rFonts w:eastAsia="Times New Roman" w:cs="Arial"/>
          <w:color w:val="auto"/>
          <w:lang w:eastAsia="en-GB"/>
        </w:rPr>
        <w:t>balance as at 31/03/2022 is £25.8m with estimated commitments for 2022/23 identified to date of £1</w:t>
      </w:r>
      <w:r w:rsidR="00392EC8">
        <w:rPr>
          <w:rFonts w:eastAsia="Times New Roman" w:cs="Arial"/>
          <w:color w:val="auto"/>
          <w:lang w:eastAsia="en-GB"/>
        </w:rPr>
        <w:t>6.980</w:t>
      </w:r>
      <w:r w:rsidRPr="00EF7B02">
        <w:rPr>
          <w:rFonts w:eastAsia="Times New Roman" w:cs="Arial"/>
          <w:color w:val="auto"/>
          <w:lang w:eastAsia="en-GB"/>
        </w:rPr>
        <w:t>m.  Therefore, the current uncommitted balance is estimated to be circa. £8.8m dependent on progress with various projects. </w:t>
      </w:r>
      <w:r w:rsidR="00862D0B">
        <w:rPr>
          <w:rFonts w:eastAsia="Times New Roman" w:cs="Arial"/>
          <w:color w:val="auto"/>
          <w:lang w:eastAsia="en-GB"/>
        </w:rPr>
        <w:t xml:space="preserve"> </w:t>
      </w:r>
      <w:r w:rsidR="00880279">
        <w:rPr>
          <w:rFonts w:eastAsia="Times New Roman" w:cs="Arial"/>
          <w:color w:val="auto"/>
          <w:lang w:eastAsia="en-GB"/>
        </w:rPr>
        <w:t xml:space="preserve">This balance </w:t>
      </w:r>
      <w:r w:rsidR="000034CF">
        <w:rPr>
          <w:rFonts w:eastAsia="Times New Roman" w:cs="Arial"/>
          <w:color w:val="auto"/>
          <w:lang w:eastAsia="en-GB"/>
        </w:rPr>
        <w:t xml:space="preserve">is being updated on a continual basis as </w:t>
      </w:r>
      <w:r w:rsidR="00841B8B">
        <w:rPr>
          <w:rFonts w:eastAsia="Times New Roman" w:cs="Arial"/>
          <w:color w:val="auto"/>
          <w:lang w:eastAsia="en-GB"/>
        </w:rPr>
        <w:t xml:space="preserve">investments are brought forward to invest in Public Health interventions that meet the grant </w:t>
      </w:r>
      <w:r w:rsidR="003F0C1A">
        <w:rPr>
          <w:rFonts w:eastAsia="Times New Roman" w:cs="Arial"/>
          <w:color w:val="auto"/>
          <w:lang w:eastAsia="en-GB"/>
        </w:rPr>
        <w:t>guidelines.</w:t>
      </w:r>
    </w:p>
    <w:p w14:paraId="0EEDB352" w14:textId="77777777" w:rsidR="003F0C1A" w:rsidRDefault="003F0C1A" w:rsidP="00EF7B02">
      <w:pPr>
        <w:autoSpaceDE/>
        <w:autoSpaceDN/>
        <w:adjustRightInd/>
        <w:spacing w:after="0"/>
        <w:textAlignment w:val="baseline"/>
        <w:rPr>
          <w:rFonts w:eastAsia="Times New Roman" w:cs="Arial"/>
          <w:color w:val="auto"/>
          <w:lang w:eastAsia="en-GB"/>
        </w:rPr>
      </w:pPr>
    </w:p>
    <w:p w14:paraId="5004F928" w14:textId="77777777" w:rsidR="003F0C1A" w:rsidRPr="00EF7B02" w:rsidRDefault="00162F2E" w:rsidP="00EF7B02">
      <w:pPr>
        <w:autoSpaceDE/>
        <w:autoSpaceDN/>
        <w:adjustRightInd/>
        <w:spacing w:after="0"/>
        <w:textAlignment w:val="baseline"/>
        <w:rPr>
          <w:rFonts w:ascii="Segoe UI" w:eastAsia="Times New Roman" w:hAnsi="Segoe UI" w:cs="Segoe UI"/>
          <w:sz w:val="18"/>
          <w:szCs w:val="18"/>
          <w:lang w:eastAsia="en-GB"/>
        </w:rPr>
      </w:pPr>
      <w:r>
        <w:rPr>
          <w:rFonts w:eastAsia="Times New Roman" w:cs="Arial"/>
          <w:color w:val="auto"/>
          <w:lang w:eastAsia="en-GB"/>
        </w:rPr>
        <w:t>Examples of the committed spend in 202</w:t>
      </w:r>
      <w:r w:rsidR="00392EC8">
        <w:rPr>
          <w:rFonts w:eastAsia="Times New Roman" w:cs="Arial"/>
          <w:color w:val="auto"/>
          <w:lang w:eastAsia="en-GB"/>
        </w:rPr>
        <w:t>2</w:t>
      </w:r>
      <w:r>
        <w:rPr>
          <w:rFonts w:eastAsia="Times New Roman" w:cs="Arial"/>
          <w:color w:val="auto"/>
          <w:lang w:eastAsia="en-GB"/>
        </w:rPr>
        <w:t>/23 (£16.980m) include</w:t>
      </w:r>
      <w:r w:rsidR="00044880">
        <w:rPr>
          <w:rFonts w:eastAsia="Times New Roman" w:cs="Arial"/>
          <w:color w:val="auto"/>
          <w:lang w:eastAsia="en-GB"/>
        </w:rPr>
        <w:t xml:space="preserve"> Employee Costs, Public Health transformational projects, </w:t>
      </w:r>
      <w:r w:rsidR="00B111ED">
        <w:rPr>
          <w:rFonts w:eastAsia="Times New Roman" w:cs="Arial"/>
          <w:color w:val="auto"/>
          <w:lang w:eastAsia="en-GB"/>
        </w:rPr>
        <w:t>purchasing test kits</w:t>
      </w:r>
      <w:r w:rsidR="003C7A3D">
        <w:rPr>
          <w:rFonts w:eastAsia="Times New Roman" w:cs="Arial"/>
          <w:color w:val="auto"/>
          <w:lang w:eastAsia="en-GB"/>
        </w:rPr>
        <w:t xml:space="preserve">, investing in </w:t>
      </w:r>
      <w:r w:rsidR="003C7A3D">
        <w:rPr>
          <w:rFonts w:eastAsia="Times New Roman" w:cs="Arial"/>
          <w:color w:val="auto"/>
          <w:lang w:eastAsia="en-GB"/>
        </w:rPr>
        <w:lastRenderedPageBreak/>
        <w:t>educational material</w:t>
      </w:r>
      <w:r w:rsidR="00B111ED">
        <w:rPr>
          <w:rFonts w:eastAsia="Times New Roman" w:cs="Arial"/>
          <w:color w:val="auto"/>
          <w:lang w:eastAsia="en-GB"/>
        </w:rPr>
        <w:t xml:space="preserve"> and </w:t>
      </w:r>
      <w:r w:rsidR="003C7A3D">
        <w:rPr>
          <w:rFonts w:eastAsia="Times New Roman" w:cs="Arial"/>
          <w:color w:val="auto"/>
          <w:lang w:eastAsia="en-GB"/>
        </w:rPr>
        <w:t>spend</w:t>
      </w:r>
      <w:r w:rsidR="00B111ED">
        <w:rPr>
          <w:rFonts w:eastAsia="Times New Roman" w:cs="Arial"/>
          <w:color w:val="auto"/>
          <w:lang w:eastAsia="en-GB"/>
        </w:rPr>
        <w:t xml:space="preserve"> across other Directorates such as </w:t>
      </w:r>
      <w:r w:rsidR="009756F3">
        <w:rPr>
          <w:rFonts w:eastAsia="Times New Roman" w:cs="Arial"/>
          <w:color w:val="auto"/>
          <w:lang w:eastAsia="en-GB"/>
        </w:rPr>
        <w:t>additional employee resource</w:t>
      </w:r>
      <w:r w:rsidR="003C7A3D">
        <w:rPr>
          <w:rFonts w:eastAsia="Times New Roman" w:cs="Arial"/>
          <w:color w:val="auto"/>
          <w:lang w:eastAsia="en-GB"/>
        </w:rPr>
        <w:t>s</w:t>
      </w:r>
      <w:r w:rsidR="009756F3">
        <w:rPr>
          <w:rFonts w:eastAsia="Times New Roman" w:cs="Arial"/>
          <w:color w:val="auto"/>
          <w:lang w:eastAsia="en-GB"/>
        </w:rPr>
        <w:t xml:space="preserve"> in Adult Social Care</w:t>
      </w:r>
      <w:r w:rsidR="005E6520">
        <w:rPr>
          <w:rFonts w:eastAsia="Times New Roman" w:cs="Arial"/>
          <w:color w:val="auto"/>
          <w:lang w:eastAsia="en-GB"/>
        </w:rPr>
        <w:t xml:space="preserve"> and </w:t>
      </w:r>
      <w:r w:rsidR="00803F12">
        <w:rPr>
          <w:rFonts w:eastAsia="Times New Roman" w:cs="Arial"/>
          <w:color w:val="auto"/>
          <w:lang w:eastAsia="en-GB"/>
        </w:rPr>
        <w:t xml:space="preserve">support for Special Educational Needs (SEN) catching up </w:t>
      </w:r>
      <w:r w:rsidR="00B111ED">
        <w:rPr>
          <w:rFonts w:eastAsia="Times New Roman" w:cs="Arial"/>
          <w:color w:val="auto"/>
          <w:lang w:eastAsia="en-GB"/>
        </w:rPr>
        <w:t>missed education</w:t>
      </w:r>
      <w:r w:rsidR="009756F3">
        <w:rPr>
          <w:rFonts w:eastAsia="Times New Roman" w:cs="Arial"/>
          <w:color w:val="auto"/>
          <w:lang w:eastAsia="en-GB"/>
        </w:rPr>
        <w:t>.</w:t>
      </w:r>
    </w:p>
    <w:p w14:paraId="69D7518C" w14:textId="77777777" w:rsidR="00590025" w:rsidRDefault="00590025" w:rsidP="00EF7B02">
      <w:pPr>
        <w:autoSpaceDE/>
        <w:autoSpaceDN/>
        <w:adjustRightInd/>
        <w:spacing w:after="0"/>
        <w:textAlignment w:val="baseline"/>
        <w:rPr>
          <w:rFonts w:eastAsia="Times New Roman" w:cs="Arial"/>
          <w:color w:val="auto"/>
          <w:lang w:eastAsia="en-GB"/>
        </w:rPr>
      </w:pPr>
    </w:p>
    <w:p w14:paraId="7CB6B6D5" w14:textId="1F6D64A0" w:rsidR="003C7A3D" w:rsidRPr="00642D26" w:rsidRDefault="00162F2E" w:rsidP="003C7A3D">
      <w:pPr>
        <w:autoSpaceDE/>
        <w:autoSpaceDN/>
        <w:adjustRightInd/>
        <w:spacing w:after="0"/>
        <w:textAlignment w:val="baseline"/>
        <w:rPr>
          <w:rFonts w:eastAsia="Times New Roman" w:cs="Arial"/>
          <w:color w:val="auto"/>
          <w:lang w:eastAsia="en-GB"/>
        </w:rPr>
      </w:pPr>
      <w:r w:rsidRPr="00EF7B02">
        <w:rPr>
          <w:rFonts w:eastAsia="Times New Roman" w:cs="Arial"/>
          <w:b/>
          <w:bCs/>
          <w:color w:val="auto"/>
          <w:lang w:eastAsia="en-GB"/>
        </w:rPr>
        <w:t>Financial Summary and Draft Forecast COMF (incl. Test and Trace)</w:t>
      </w:r>
      <w:r w:rsidRPr="00EF7B02">
        <w:rPr>
          <w:rFonts w:eastAsia="Times New Roman" w:cs="Arial"/>
          <w:color w:val="auto"/>
          <w:lang w:eastAsia="en-GB"/>
        </w:rPr>
        <w:t> </w:t>
      </w:r>
    </w:p>
    <w:p w14:paraId="0891083C" w14:textId="77777777" w:rsidR="00EF7B02" w:rsidRPr="00EF7B02" w:rsidRDefault="00162F2E" w:rsidP="00EF7B02">
      <w:pPr>
        <w:autoSpaceDE/>
        <w:autoSpaceDN/>
        <w:adjustRightInd/>
        <w:spacing w:after="0"/>
        <w:textAlignment w:val="baseline"/>
        <w:rPr>
          <w:rFonts w:ascii="Segoe UI" w:eastAsia="Times New Roman" w:hAnsi="Segoe UI" w:cs="Segoe UI"/>
          <w:sz w:val="18"/>
          <w:szCs w:val="18"/>
          <w:lang w:eastAsia="en-GB"/>
        </w:rPr>
      </w:pPr>
      <w:r w:rsidRPr="00EF7B02">
        <w:rPr>
          <w:rFonts w:eastAsia="Times New Roman" w:cs="Arial"/>
          <w:color w:val="auto"/>
          <w:lang w:eastAsia="en-GB"/>
        </w:rPr>
        <w:t> </w:t>
      </w:r>
    </w:p>
    <w:tbl>
      <w:tblPr>
        <w:tblW w:w="892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3642"/>
        <w:gridCol w:w="1486"/>
        <w:gridCol w:w="1345"/>
        <w:gridCol w:w="1476"/>
      </w:tblGrid>
      <w:tr w:rsidR="006E5B54" w14:paraId="1F6631F7" w14:textId="77777777" w:rsidTr="003C7A3D">
        <w:trPr>
          <w:trHeight w:val="420"/>
        </w:trPr>
        <w:tc>
          <w:tcPr>
            <w:tcW w:w="975" w:type="dxa"/>
            <w:tcBorders>
              <w:top w:val="single" w:sz="6" w:space="0" w:color="auto"/>
              <w:left w:val="single" w:sz="6" w:space="0" w:color="auto"/>
              <w:bottom w:val="nil"/>
              <w:right w:val="nil"/>
            </w:tcBorders>
            <w:shd w:val="clear" w:color="auto" w:fill="D9D9D9"/>
            <w:vAlign w:val="center"/>
            <w:hideMark/>
          </w:tcPr>
          <w:p w14:paraId="3EF5AD34"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3642" w:type="dxa"/>
            <w:tcBorders>
              <w:top w:val="single" w:sz="6" w:space="0" w:color="auto"/>
              <w:left w:val="nil"/>
              <w:bottom w:val="nil"/>
              <w:right w:val="single" w:sz="6" w:space="0" w:color="auto"/>
            </w:tcBorders>
            <w:shd w:val="clear" w:color="auto" w:fill="D9D9D9"/>
            <w:vAlign w:val="center"/>
            <w:hideMark/>
          </w:tcPr>
          <w:p w14:paraId="720281B3"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b/>
                <w:bCs/>
                <w:sz w:val="20"/>
                <w:szCs w:val="20"/>
                <w:lang w:eastAsia="en-GB"/>
              </w:rPr>
              <w:t> </w:t>
            </w:r>
            <w:r w:rsidRPr="00932279">
              <w:rPr>
                <w:rFonts w:eastAsia="Times New Roman" w:cs="Arial"/>
                <w:sz w:val="20"/>
                <w:szCs w:val="20"/>
                <w:lang w:eastAsia="en-GB"/>
              </w:rPr>
              <w:t> </w:t>
            </w:r>
          </w:p>
        </w:tc>
        <w:tc>
          <w:tcPr>
            <w:tcW w:w="1486" w:type="dxa"/>
            <w:tcBorders>
              <w:top w:val="single" w:sz="6" w:space="0" w:color="auto"/>
              <w:left w:val="nil"/>
              <w:bottom w:val="nil"/>
              <w:right w:val="single" w:sz="6" w:space="0" w:color="auto"/>
            </w:tcBorders>
            <w:shd w:val="clear" w:color="auto" w:fill="E2EFDA"/>
            <w:vAlign w:val="center"/>
            <w:hideMark/>
          </w:tcPr>
          <w:p w14:paraId="653699C0"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b/>
                <w:bCs/>
                <w:sz w:val="20"/>
                <w:szCs w:val="20"/>
                <w:lang w:eastAsia="en-GB"/>
              </w:rPr>
              <w:t>COMF</w:t>
            </w:r>
            <w:r w:rsidRPr="00932279">
              <w:rPr>
                <w:rFonts w:eastAsia="Times New Roman" w:cs="Arial"/>
                <w:sz w:val="20"/>
                <w:szCs w:val="20"/>
                <w:lang w:eastAsia="en-GB"/>
              </w:rPr>
              <w:t> </w:t>
            </w:r>
          </w:p>
        </w:tc>
        <w:tc>
          <w:tcPr>
            <w:tcW w:w="1345" w:type="dxa"/>
            <w:tcBorders>
              <w:top w:val="single" w:sz="6" w:space="0" w:color="auto"/>
              <w:left w:val="nil"/>
              <w:bottom w:val="nil"/>
              <w:right w:val="single" w:sz="6" w:space="0" w:color="auto"/>
            </w:tcBorders>
            <w:shd w:val="clear" w:color="auto" w:fill="E2EFDA"/>
            <w:vAlign w:val="center"/>
            <w:hideMark/>
          </w:tcPr>
          <w:p w14:paraId="7AB53FFA"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b/>
                <w:bCs/>
                <w:sz w:val="20"/>
                <w:szCs w:val="20"/>
                <w:lang w:eastAsia="en-GB"/>
              </w:rPr>
              <w:t>Test and Trace</w:t>
            </w:r>
            <w:r w:rsidRPr="00932279">
              <w:rPr>
                <w:rFonts w:eastAsia="Times New Roman" w:cs="Arial"/>
                <w:sz w:val="20"/>
                <w:szCs w:val="20"/>
                <w:lang w:eastAsia="en-GB"/>
              </w:rPr>
              <w:t> </w:t>
            </w:r>
          </w:p>
        </w:tc>
        <w:tc>
          <w:tcPr>
            <w:tcW w:w="1476" w:type="dxa"/>
            <w:tcBorders>
              <w:top w:val="single" w:sz="6" w:space="0" w:color="auto"/>
              <w:left w:val="nil"/>
              <w:bottom w:val="nil"/>
              <w:right w:val="single" w:sz="6" w:space="0" w:color="auto"/>
            </w:tcBorders>
            <w:shd w:val="clear" w:color="auto" w:fill="E2EFDA"/>
            <w:vAlign w:val="center"/>
            <w:hideMark/>
          </w:tcPr>
          <w:p w14:paraId="166442DF"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b/>
                <w:bCs/>
                <w:sz w:val="20"/>
                <w:szCs w:val="20"/>
                <w:lang w:eastAsia="en-GB"/>
              </w:rPr>
              <w:t>TOTAL</w:t>
            </w:r>
            <w:r w:rsidRPr="00932279">
              <w:rPr>
                <w:rFonts w:eastAsia="Times New Roman" w:cs="Arial"/>
                <w:sz w:val="20"/>
                <w:szCs w:val="20"/>
                <w:lang w:eastAsia="en-GB"/>
              </w:rPr>
              <w:t> </w:t>
            </w:r>
          </w:p>
        </w:tc>
      </w:tr>
      <w:tr w:rsidR="006E5B54" w14:paraId="7D3130F7" w14:textId="77777777" w:rsidTr="00B30F7D">
        <w:trPr>
          <w:trHeight w:val="225"/>
        </w:trPr>
        <w:tc>
          <w:tcPr>
            <w:tcW w:w="975" w:type="dxa"/>
            <w:tcBorders>
              <w:top w:val="nil"/>
              <w:left w:val="single" w:sz="6" w:space="0" w:color="auto"/>
              <w:bottom w:val="single" w:sz="6" w:space="0" w:color="auto"/>
              <w:right w:val="nil"/>
            </w:tcBorders>
            <w:shd w:val="clear" w:color="auto" w:fill="D9D9D9"/>
            <w:vAlign w:val="center"/>
            <w:hideMark/>
          </w:tcPr>
          <w:p w14:paraId="2E97991D"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3642" w:type="dxa"/>
            <w:tcBorders>
              <w:top w:val="nil"/>
              <w:left w:val="nil"/>
              <w:bottom w:val="single" w:sz="6" w:space="0" w:color="auto"/>
              <w:right w:val="single" w:sz="6" w:space="0" w:color="auto"/>
            </w:tcBorders>
            <w:shd w:val="clear" w:color="auto" w:fill="D9D9D9"/>
            <w:vAlign w:val="center"/>
            <w:hideMark/>
          </w:tcPr>
          <w:p w14:paraId="08D9B2D9"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b/>
                <w:bCs/>
                <w:sz w:val="20"/>
                <w:szCs w:val="20"/>
                <w:lang w:eastAsia="en-GB"/>
              </w:rPr>
              <w:t> </w:t>
            </w:r>
            <w:r w:rsidRPr="00932279">
              <w:rPr>
                <w:rFonts w:eastAsia="Times New Roman" w:cs="Arial"/>
                <w:sz w:val="20"/>
                <w:szCs w:val="20"/>
                <w:lang w:eastAsia="en-GB"/>
              </w:rPr>
              <w:t> </w:t>
            </w:r>
          </w:p>
        </w:tc>
        <w:tc>
          <w:tcPr>
            <w:tcW w:w="1486" w:type="dxa"/>
            <w:tcBorders>
              <w:top w:val="nil"/>
              <w:left w:val="nil"/>
              <w:bottom w:val="single" w:sz="6" w:space="0" w:color="auto"/>
              <w:right w:val="single" w:sz="6" w:space="0" w:color="auto"/>
            </w:tcBorders>
            <w:shd w:val="clear" w:color="auto" w:fill="E2EFDA"/>
            <w:vAlign w:val="center"/>
            <w:hideMark/>
          </w:tcPr>
          <w:p w14:paraId="22AEE2FC"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b/>
                <w:bCs/>
                <w:sz w:val="20"/>
                <w:szCs w:val="20"/>
                <w:lang w:eastAsia="en-GB"/>
              </w:rPr>
              <w:t>£</w:t>
            </w:r>
            <w:r w:rsidRPr="00932279">
              <w:rPr>
                <w:rFonts w:eastAsia="Times New Roman" w:cs="Arial"/>
                <w:sz w:val="20"/>
                <w:szCs w:val="20"/>
                <w:lang w:eastAsia="en-GB"/>
              </w:rPr>
              <w:t> </w:t>
            </w:r>
          </w:p>
        </w:tc>
        <w:tc>
          <w:tcPr>
            <w:tcW w:w="1345" w:type="dxa"/>
            <w:tcBorders>
              <w:top w:val="nil"/>
              <w:left w:val="nil"/>
              <w:bottom w:val="single" w:sz="6" w:space="0" w:color="auto"/>
              <w:right w:val="single" w:sz="6" w:space="0" w:color="auto"/>
            </w:tcBorders>
            <w:shd w:val="clear" w:color="auto" w:fill="E2EFDA"/>
            <w:vAlign w:val="center"/>
            <w:hideMark/>
          </w:tcPr>
          <w:p w14:paraId="2A46A135"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b/>
                <w:bCs/>
                <w:sz w:val="20"/>
                <w:szCs w:val="20"/>
                <w:lang w:eastAsia="en-GB"/>
              </w:rPr>
              <w:t>£</w:t>
            </w:r>
            <w:r w:rsidRPr="00932279">
              <w:rPr>
                <w:rFonts w:eastAsia="Times New Roman" w:cs="Arial"/>
                <w:sz w:val="20"/>
                <w:szCs w:val="20"/>
                <w:lang w:eastAsia="en-GB"/>
              </w:rPr>
              <w:t> </w:t>
            </w:r>
          </w:p>
        </w:tc>
        <w:tc>
          <w:tcPr>
            <w:tcW w:w="1476" w:type="dxa"/>
            <w:tcBorders>
              <w:top w:val="nil"/>
              <w:left w:val="nil"/>
              <w:bottom w:val="single" w:sz="6" w:space="0" w:color="auto"/>
              <w:right w:val="single" w:sz="6" w:space="0" w:color="auto"/>
            </w:tcBorders>
            <w:shd w:val="clear" w:color="auto" w:fill="E2EFDA"/>
            <w:vAlign w:val="center"/>
            <w:hideMark/>
          </w:tcPr>
          <w:p w14:paraId="72A348EA"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b/>
                <w:bCs/>
                <w:sz w:val="20"/>
                <w:szCs w:val="20"/>
                <w:lang w:eastAsia="en-GB"/>
              </w:rPr>
              <w:t>£</w:t>
            </w:r>
            <w:r w:rsidRPr="00932279">
              <w:rPr>
                <w:rFonts w:eastAsia="Times New Roman" w:cs="Arial"/>
                <w:sz w:val="20"/>
                <w:szCs w:val="20"/>
                <w:lang w:eastAsia="en-GB"/>
              </w:rPr>
              <w:t> </w:t>
            </w:r>
          </w:p>
        </w:tc>
      </w:tr>
      <w:tr w:rsidR="006E5B54" w14:paraId="01A6A866" w14:textId="77777777" w:rsidTr="00B30F7D">
        <w:trPr>
          <w:trHeight w:val="285"/>
        </w:trPr>
        <w:tc>
          <w:tcPr>
            <w:tcW w:w="975" w:type="dxa"/>
            <w:vMerge w:val="restart"/>
            <w:tcBorders>
              <w:top w:val="single" w:sz="6" w:space="0" w:color="auto"/>
              <w:left w:val="single" w:sz="6" w:space="0" w:color="auto"/>
              <w:bottom w:val="single" w:sz="4" w:space="0" w:color="auto"/>
              <w:right w:val="single" w:sz="6" w:space="0" w:color="auto"/>
            </w:tcBorders>
            <w:shd w:val="clear" w:color="auto" w:fill="E2EFDA"/>
            <w:vAlign w:val="center"/>
            <w:hideMark/>
          </w:tcPr>
          <w:p w14:paraId="63306C97"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b/>
                <w:bCs/>
                <w:sz w:val="20"/>
                <w:szCs w:val="20"/>
                <w:lang w:eastAsia="en-GB"/>
              </w:rPr>
              <w:t>2020/21</w:t>
            </w:r>
            <w:r w:rsidRPr="00932279">
              <w:rPr>
                <w:rFonts w:eastAsia="Times New Roman" w:cs="Arial"/>
                <w:sz w:val="20"/>
                <w:szCs w:val="20"/>
                <w:lang w:eastAsia="en-GB"/>
              </w:rPr>
              <w:t> </w:t>
            </w:r>
          </w:p>
          <w:p w14:paraId="53C2B63E"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3642" w:type="dxa"/>
            <w:tcBorders>
              <w:top w:val="nil"/>
              <w:left w:val="nil"/>
              <w:bottom w:val="single" w:sz="6" w:space="0" w:color="auto"/>
              <w:right w:val="single" w:sz="6" w:space="0" w:color="auto"/>
            </w:tcBorders>
            <w:shd w:val="clear" w:color="auto" w:fill="FFFFFF"/>
            <w:vAlign w:val="center"/>
            <w:hideMark/>
          </w:tcPr>
          <w:p w14:paraId="6FD65D1C"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Received in 2020/21 </w:t>
            </w:r>
          </w:p>
        </w:tc>
        <w:tc>
          <w:tcPr>
            <w:tcW w:w="1486" w:type="dxa"/>
            <w:tcBorders>
              <w:top w:val="nil"/>
              <w:left w:val="nil"/>
              <w:bottom w:val="single" w:sz="6" w:space="0" w:color="auto"/>
              <w:right w:val="single" w:sz="6" w:space="0" w:color="auto"/>
            </w:tcBorders>
            <w:shd w:val="clear" w:color="auto" w:fill="FFFFFF"/>
            <w:vAlign w:val="center"/>
            <w:hideMark/>
          </w:tcPr>
          <w:p w14:paraId="0DBEED4B"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-24,221,723 </w:t>
            </w:r>
          </w:p>
        </w:tc>
        <w:tc>
          <w:tcPr>
            <w:tcW w:w="1345" w:type="dxa"/>
            <w:tcBorders>
              <w:top w:val="nil"/>
              <w:left w:val="nil"/>
              <w:bottom w:val="single" w:sz="6" w:space="0" w:color="auto"/>
              <w:right w:val="single" w:sz="6" w:space="0" w:color="auto"/>
            </w:tcBorders>
            <w:shd w:val="clear" w:color="auto" w:fill="FFFFFF"/>
            <w:vAlign w:val="center"/>
            <w:hideMark/>
          </w:tcPr>
          <w:p w14:paraId="70A1FBEF"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-6,367,420 </w:t>
            </w:r>
          </w:p>
        </w:tc>
        <w:tc>
          <w:tcPr>
            <w:tcW w:w="1476" w:type="dxa"/>
            <w:tcBorders>
              <w:top w:val="nil"/>
              <w:left w:val="nil"/>
              <w:bottom w:val="single" w:sz="6" w:space="0" w:color="auto"/>
              <w:right w:val="single" w:sz="6" w:space="0" w:color="auto"/>
            </w:tcBorders>
            <w:shd w:val="clear" w:color="auto" w:fill="FFFFFF"/>
            <w:vAlign w:val="center"/>
            <w:hideMark/>
          </w:tcPr>
          <w:p w14:paraId="114AE7AE"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-30,589,143 </w:t>
            </w:r>
          </w:p>
        </w:tc>
      </w:tr>
      <w:tr w:rsidR="006E5B54" w14:paraId="3710DEB6" w14:textId="77777777" w:rsidTr="00B30F7D">
        <w:trPr>
          <w:trHeight w:val="285"/>
        </w:trPr>
        <w:tc>
          <w:tcPr>
            <w:tcW w:w="0" w:type="auto"/>
            <w:vMerge/>
            <w:tcBorders>
              <w:top w:val="nil"/>
              <w:left w:val="single" w:sz="6" w:space="0" w:color="auto"/>
              <w:bottom w:val="single" w:sz="4" w:space="0" w:color="auto"/>
              <w:right w:val="single" w:sz="6" w:space="0" w:color="auto"/>
            </w:tcBorders>
            <w:shd w:val="clear" w:color="auto" w:fill="auto"/>
            <w:vAlign w:val="center"/>
            <w:hideMark/>
          </w:tcPr>
          <w:p w14:paraId="71970EA5" w14:textId="77777777" w:rsidR="00EF7B02" w:rsidRPr="00932279" w:rsidRDefault="00EF7B02" w:rsidP="00EF7B02">
            <w:pPr>
              <w:autoSpaceDE/>
              <w:autoSpaceDN/>
              <w:adjustRightInd/>
              <w:spacing w:after="0"/>
              <w:jc w:val="left"/>
              <w:rPr>
                <w:rFonts w:eastAsia="Times New Roman" w:cs="Arial"/>
                <w:color w:val="auto"/>
                <w:sz w:val="20"/>
                <w:szCs w:val="20"/>
                <w:lang w:eastAsia="en-GB"/>
              </w:rPr>
            </w:pPr>
          </w:p>
        </w:tc>
        <w:tc>
          <w:tcPr>
            <w:tcW w:w="3642" w:type="dxa"/>
            <w:tcBorders>
              <w:top w:val="nil"/>
              <w:left w:val="nil"/>
              <w:bottom w:val="single" w:sz="6" w:space="0" w:color="auto"/>
              <w:right w:val="single" w:sz="6" w:space="0" w:color="auto"/>
            </w:tcBorders>
            <w:shd w:val="clear" w:color="auto" w:fill="auto"/>
            <w:vAlign w:val="center"/>
            <w:hideMark/>
          </w:tcPr>
          <w:p w14:paraId="4B19B59F"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Expenditure in 2020/21  </w:t>
            </w:r>
          </w:p>
        </w:tc>
        <w:tc>
          <w:tcPr>
            <w:tcW w:w="1486" w:type="dxa"/>
            <w:tcBorders>
              <w:top w:val="nil"/>
              <w:left w:val="nil"/>
              <w:bottom w:val="single" w:sz="6" w:space="0" w:color="auto"/>
              <w:right w:val="single" w:sz="6" w:space="0" w:color="auto"/>
            </w:tcBorders>
            <w:shd w:val="clear" w:color="auto" w:fill="auto"/>
            <w:vAlign w:val="center"/>
            <w:hideMark/>
          </w:tcPr>
          <w:p w14:paraId="34596682"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1345" w:type="dxa"/>
            <w:tcBorders>
              <w:top w:val="nil"/>
              <w:left w:val="nil"/>
              <w:bottom w:val="single" w:sz="6" w:space="0" w:color="auto"/>
              <w:right w:val="single" w:sz="6" w:space="0" w:color="auto"/>
            </w:tcBorders>
            <w:shd w:val="clear" w:color="auto" w:fill="FFFFFF"/>
            <w:vAlign w:val="center"/>
            <w:hideMark/>
          </w:tcPr>
          <w:p w14:paraId="64BE6995"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1,320,733 </w:t>
            </w:r>
          </w:p>
        </w:tc>
        <w:tc>
          <w:tcPr>
            <w:tcW w:w="1476" w:type="dxa"/>
            <w:tcBorders>
              <w:top w:val="nil"/>
              <w:left w:val="nil"/>
              <w:bottom w:val="single" w:sz="6" w:space="0" w:color="auto"/>
              <w:right w:val="single" w:sz="6" w:space="0" w:color="auto"/>
            </w:tcBorders>
            <w:shd w:val="clear" w:color="auto" w:fill="FFFFFF"/>
            <w:vAlign w:val="center"/>
            <w:hideMark/>
          </w:tcPr>
          <w:p w14:paraId="77E56998"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1,320,733 </w:t>
            </w:r>
          </w:p>
        </w:tc>
      </w:tr>
      <w:tr w:rsidR="006E5B54" w14:paraId="34D88287" w14:textId="77777777" w:rsidTr="00B30F7D">
        <w:trPr>
          <w:trHeight w:val="345"/>
        </w:trPr>
        <w:tc>
          <w:tcPr>
            <w:tcW w:w="975" w:type="dxa"/>
            <w:tcBorders>
              <w:top w:val="single" w:sz="4" w:space="0" w:color="auto"/>
              <w:left w:val="single" w:sz="6" w:space="0" w:color="auto"/>
              <w:bottom w:val="nil"/>
              <w:right w:val="single" w:sz="6" w:space="0" w:color="auto"/>
            </w:tcBorders>
            <w:shd w:val="clear" w:color="auto" w:fill="FFF2CC"/>
            <w:vAlign w:val="center"/>
            <w:hideMark/>
          </w:tcPr>
          <w:p w14:paraId="1D3CB493"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3642" w:type="dxa"/>
            <w:tcBorders>
              <w:top w:val="nil"/>
              <w:left w:val="nil"/>
              <w:bottom w:val="single" w:sz="6" w:space="0" w:color="auto"/>
              <w:right w:val="single" w:sz="6" w:space="0" w:color="auto"/>
            </w:tcBorders>
            <w:shd w:val="clear" w:color="auto" w:fill="D9E1F2"/>
            <w:vAlign w:val="center"/>
            <w:hideMark/>
          </w:tcPr>
          <w:p w14:paraId="3CE837AE"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b/>
                <w:bCs/>
                <w:sz w:val="20"/>
                <w:szCs w:val="20"/>
                <w:lang w:eastAsia="en-GB"/>
              </w:rPr>
              <w:t>Opening Balance as at 01/04/2021</w:t>
            </w:r>
            <w:r w:rsidRPr="00932279">
              <w:rPr>
                <w:rFonts w:eastAsia="Times New Roman" w:cs="Arial"/>
                <w:sz w:val="20"/>
                <w:szCs w:val="20"/>
                <w:lang w:eastAsia="en-GB"/>
              </w:rPr>
              <w:t> </w:t>
            </w:r>
          </w:p>
        </w:tc>
        <w:tc>
          <w:tcPr>
            <w:tcW w:w="1486" w:type="dxa"/>
            <w:tcBorders>
              <w:top w:val="nil"/>
              <w:left w:val="nil"/>
              <w:bottom w:val="single" w:sz="6" w:space="0" w:color="auto"/>
              <w:right w:val="single" w:sz="6" w:space="0" w:color="auto"/>
            </w:tcBorders>
            <w:shd w:val="clear" w:color="auto" w:fill="D9E1F2"/>
            <w:vAlign w:val="center"/>
            <w:hideMark/>
          </w:tcPr>
          <w:p w14:paraId="33ACE49B"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sz w:val="20"/>
                <w:szCs w:val="20"/>
                <w:lang w:eastAsia="en-GB"/>
              </w:rPr>
              <w:t>-24,221,723</w:t>
            </w:r>
            <w:r w:rsidRPr="00932279">
              <w:rPr>
                <w:rFonts w:eastAsia="Times New Roman" w:cs="Arial"/>
                <w:sz w:val="20"/>
                <w:szCs w:val="20"/>
                <w:lang w:eastAsia="en-GB"/>
              </w:rPr>
              <w:t> </w:t>
            </w:r>
          </w:p>
        </w:tc>
        <w:tc>
          <w:tcPr>
            <w:tcW w:w="1345" w:type="dxa"/>
            <w:tcBorders>
              <w:top w:val="nil"/>
              <w:left w:val="nil"/>
              <w:bottom w:val="single" w:sz="6" w:space="0" w:color="auto"/>
              <w:right w:val="single" w:sz="6" w:space="0" w:color="auto"/>
            </w:tcBorders>
            <w:shd w:val="clear" w:color="auto" w:fill="D9E1F2"/>
            <w:vAlign w:val="center"/>
            <w:hideMark/>
          </w:tcPr>
          <w:p w14:paraId="0ACAD259"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sz w:val="20"/>
                <w:szCs w:val="20"/>
                <w:lang w:eastAsia="en-GB"/>
              </w:rPr>
              <w:t>-5,046,687</w:t>
            </w:r>
            <w:r w:rsidRPr="00932279">
              <w:rPr>
                <w:rFonts w:eastAsia="Times New Roman" w:cs="Arial"/>
                <w:sz w:val="20"/>
                <w:szCs w:val="20"/>
                <w:lang w:eastAsia="en-GB"/>
              </w:rPr>
              <w:t> </w:t>
            </w:r>
          </w:p>
        </w:tc>
        <w:tc>
          <w:tcPr>
            <w:tcW w:w="1476" w:type="dxa"/>
            <w:tcBorders>
              <w:top w:val="nil"/>
              <w:left w:val="nil"/>
              <w:bottom w:val="single" w:sz="6" w:space="0" w:color="auto"/>
              <w:right w:val="single" w:sz="6" w:space="0" w:color="auto"/>
            </w:tcBorders>
            <w:shd w:val="clear" w:color="auto" w:fill="D9E1F2"/>
            <w:vAlign w:val="center"/>
            <w:hideMark/>
          </w:tcPr>
          <w:p w14:paraId="21F4511D"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sz w:val="20"/>
                <w:szCs w:val="20"/>
                <w:lang w:eastAsia="en-GB"/>
              </w:rPr>
              <w:t>-29,268,410</w:t>
            </w:r>
            <w:r w:rsidRPr="00932279">
              <w:rPr>
                <w:rFonts w:eastAsia="Times New Roman" w:cs="Arial"/>
                <w:sz w:val="20"/>
                <w:szCs w:val="20"/>
                <w:lang w:eastAsia="en-GB"/>
              </w:rPr>
              <w:t> </w:t>
            </w:r>
          </w:p>
        </w:tc>
      </w:tr>
      <w:tr w:rsidR="006E5B54" w14:paraId="0923A8A9" w14:textId="77777777" w:rsidTr="003C7A3D">
        <w:trPr>
          <w:trHeight w:val="420"/>
        </w:trPr>
        <w:tc>
          <w:tcPr>
            <w:tcW w:w="975" w:type="dxa"/>
            <w:tcBorders>
              <w:top w:val="nil"/>
              <w:left w:val="single" w:sz="6" w:space="0" w:color="auto"/>
              <w:bottom w:val="nil"/>
              <w:right w:val="single" w:sz="6" w:space="0" w:color="auto"/>
            </w:tcBorders>
            <w:shd w:val="clear" w:color="auto" w:fill="FFF2CC"/>
            <w:vAlign w:val="center"/>
            <w:hideMark/>
          </w:tcPr>
          <w:p w14:paraId="71144956"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3642" w:type="dxa"/>
            <w:tcBorders>
              <w:top w:val="nil"/>
              <w:left w:val="nil"/>
              <w:bottom w:val="single" w:sz="6" w:space="0" w:color="auto"/>
              <w:right w:val="single" w:sz="6" w:space="0" w:color="auto"/>
            </w:tcBorders>
            <w:shd w:val="clear" w:color="auto" w:fill="auto"/>
            <w:vAlign w:val="center"/>
            <w:hideMark/>
          </w:tcPr>
          <w:p w14:paraId="324E4F58"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Received in Year 2021/22 </w:t>
            </w:r>
          </w:p>
        </w:tc>
        <w:tc>
          <w:tcPr>
            <w:tcW w:w="1486" w:type="dxa"/>
            <w:tcBorders>
              <w:top w:val="nil"/>
              <w:left w:val="nil"/>
              <w:bottom w:val="single" w:sz="6" w:space="0" w:color="auto"/>
              <w:right w:val="single" w:sz="6" w:space="0" w:color="auto"/>
            </w:tcBorders>
            <w:shd w:val="clear" w:color="auto" w:fill="auto"/>
            <w:vAlign w:val="center"/>
            <w:hideMark/>
          </w:tcPr>
          <w:p w14:paraId="0146BA6A"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-6,708,124 </w:t>
            </w:r>
          </w:p>
        </w:tc>
        <w:tc>
          <w:tcPr>
            <w:tcW w:w="1345" w:type="dxa"/>
            <w:tcBorders>
              <w:top w:val="nil"/>
              <w:left w:val="nil"/>
              <w:bottom w:val="single" w:sz="6" w:space="0" w:color="auto"/>
              <w:right w:val="single" w:sz="6" w:space="0" w:color="auto"/>
            </w:tcBorders>
            <w:shd w:val="clear" w:color="auto" w:fill="auto"/>
            <w:vAlign w:val="center"/>
            <w:hideMark/>
          </w:tcPr>
          <w:p w14:paraId="116A2703"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1476" w:type="dxa"/>
            <w:tcBorders>
              <w:top w:val="nil"/>
              <w:left w:val="nil"/>
              <w:bottom w:val="single" w:sz="6" w:space="0" w:color="auto"/>
              <w:right w:val="single" w:sz="6" w:space="0" w:color="auto"/>
            </w:tcBorders>
            <w:shd w:val="clear" w:color="auto" w:fill="auto"/>
            <w:vAlign w:val="center"/>
            <w:hideMark/>
          </w:tcPr>
          <w:p w14:paraId="306761E7"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-6,708,124 </w:t>
            </w:r>
          </w:p>
        </w:tc>
      </w:tr>
      <w:tr w:rsidR="006E5B54" w14:paraId="2CB9EE4C" w14:textId="77777777" w:rsidTr="003C7A3D">
        <w:trPr>
          <w:trHeight w:val="315"/>
        </w:trPr>
        <w:tc>
          <w:tcPr>
            <w:tcW w:w="975" w:type="dxa"/>
            <w:tcBorders>
              <w:top w:val="nil"/>
              <w:left w:val="single" w:sz="6" w:space="0" w:color="auto"/>
              <w:bottom w:val="nil"/>
              <w:right w:val="single" w:sz="6" w:space="0" w:color="auto"/>
            </w:tcBorders>
            <w:shd w:val="clear" w:color="auto" w:fill="FFF2CC"/>
            <w:vAlign w:val="center"/>
            <w:hideMark/>
          </w:tcPr>
          <w:p w14:paraId="380A0D09"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3642" w:type="dxa"/>
            <w:tcBorders>
              <w:top w:val="nil"/>
              <w:left w:val="nil"/>
              <w:bottom w:val="single" w:sz="6" w:space="0" w:color="auto"/>
              <w:right w:val="single" w:sz="6" w:space="0" w:color="auto"/>
            </w:tcBorders>
            <w:shd w:val="clear" w:color="auto" w:fill="D9D9D9"/>
            <w:vAlign w:val="center"/>
            <w:hideMark/>
          </w:tcPr>
          <w:p w14:paraId="74A2E5D9"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b/>
                <w:bCs/>
                <w:i/>
                <w:iCs/>
                <w:sz w:val="20"/>
                <w:szCs w:val="20"/>
                <w:lang w:eastAsia="en-GB"/>
              </w:rPr>
              <w:t>Total Grant Available</w:t>
            </w:r>
            <w:r w:rsidRPr="00932279">
              <w:rPr>
                <w:rFonts w:eastAsia="Times New Roman" w:cs="Arial"/>
                <w:sz w:val="20"/>
                <w:szCs w:val="20"/>
                <w:lang w:eastAsia="en-GB"/>
              </w:rPr>
              <w:t> </w:t>
            </w:r>
          </w:p>
        </w:tc>
        <w:tc>
          <w:tcPr>
            <w:tcW w:w="1486" w:type="dxa"/>
            <w:tcBorders>
              <w:top w:val="nil"/>
              <w:left w:val="nil"/>
              <w:bottom w:val="single" w:sz="6" w:space="0" w:color="auto"/>
              <w:right w:val="single" w:sz="6" w:space="0" w:color="auto"/>
            </w:tcBorders>
            <w:shd w:val="clear" w:color="auto" w:fill="D9D9D9"/>
            <w:vAlign w:val="center"/>
            <w:hideMark/>
          </w:tcPr>
          <w:p w14:paraId="2858BA9B"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i/>
                <w:iCs/>
                <w:sz w:val="20"/>
                <w:szCs w:val="20"/>
                <w:lang w:eastAsia="en-GB"/>
              </w:rPr>
              <w:t>-30,929,847</w:t>
            </w:r>
            <w:r w:rsidRPr="00932279">
              <w:rPr>
                <w:rFonts w:eastAsia="Times New Roman" w:cs="Arial"/>
                <w:sz w:val="20"/>
                <w:szCs w:val="20"/>
                <w:lang w:eastAsia="en-GB"/>
              </w:rPr>
              <w:t> </w:t>
            </w:r>
          </w:p>
        </w:tc>
        <w:tc>
          <w:tcPr>
            <w:tcW w:w="1345" w:type="dxa"/>
            <w:tcBorders>
              <w:top w:val="nil"/>
              <w:left w:val="nil"/>
              <w:bottom w:val="single" w:sz="6" w:space="0" w:color="auto"/>
              <w:right w:val="single" w:sz="6" w:space="0" w:color="auto"/>
            </w:tcBorders>
            <w:shd w:val="clear" w:color="auto" w:fill="D9D9D9"/>
            <w:vAlign w:val="center"/>
            <w:hideMark/>
          </w:tcPr>
          <w:p w14:paraId="6EFBA10D"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i/>
                <w:iCs/>
                <w:sz w:val="20"/>
                <w:szCs w:val="20"/>
                <w:lang w:eastAsia="en-GB"/>
              </w:rPr>
              <w:t>5,046,687</w:t>
            </w:r>
            <w:r w:rsidRPr="00932279">
              <w:rPr>
                <w:rFonts w:eastAsia="Times New Roman" w:cs="Arial"/>
                <w:sz w:val="20"/>
                <w:szCs w:val="20"/>
                <w:lang w:eastAsia="en-GB"/>
              </w:rPr>
              <w:t> </w:t>
            </w:r>
          </w:p>
        </w:tc>
        <w:tc>
          <w:tcPr>
            <w:tcW w:w="1476" w:type="dxa"/>
            <w:tcBorders>
              <w:top w:val="nil"/>
              <w:left w:val="nil"/>
              <w:bottom w:val="single" w:sz="6" w:space="0" w:color="auto"/>
              <w:right w:val="single" w:sz="6" w:space="0" w:color="auto"/>
            </w:tcBorders>
            <w:shd w:val="clear" w:color="auto" w:fill="D9D9D9"/>
            <w:vAlign w:val="center"/>
            <w:hideMark/>
          </w:tcPr>
          <w:p w14:paraId="465E5A45"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i/>
                <w:iCs/>
                <w:sz w:val="20"/>
                <w:szCs w:val="20"/>
                <w:lang w:eastAsia="en-GB"/>
              </w:rPr>
              <w:t>35,976,534</w:t>
            </w:r>
            <w:r w:rsidRPr="00932279">
              <w:rPr>
                <w:rFonts w:eastAsia="Times New Roman" w:cs="Arial"/>
                <w:sz w:val="20"/>
                <w:szCs w:val="20"/>
                <w:lang w:eastAsia="en-GB"/>
              </w:rPr>
              <w:t> </w:t>
            </w:r>
          </w:p>
        </w:tc>
      </w:tr>
      <w:tr w:rsidR="006E5B54" w14:paraId="5AC38279" w14:textId="77777777" w:rsidTr="003C7A3D">
        <w:trPr>
          <w:trHeight w:val="345"/>
        </w:trPr>
        <w:tc>
          <w:tcPr>
            <w:tcW w:w="975" w:type="dxa"/>
            <w:tcBorders>
              <w:top w:val="nil"/>
              <w:left w:val="single" w:sz="6" w:space="0" w:color="auto"/>
              <w:bottom w:val="nil"/>
              <w:right w:val="single" w:sz="6" w:space="0" w:color="auto"/>
            </w:tcBorders>
            <w:shd w:val="clear" w:color="auto" w:fill="FFF2CC"/>
            <w:vAlign w:val="center"/>
            <w:hideMark/>
          </w:tcPr>
          <w:p w14:paraId="73F79C4B"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b/>
                <w:bCs/>
                <w:sz w:val="20"/>
                <w:szCs w:val="20"/>
                <w:lang w:eastAsia="en-GB"/>
              </w:rPr>
              <w:t>2021/22</w:t>
            </w:r>
            <w:r w:rsidRPr="00932279">
              <w:rPr>
                <w:rFonts w:eastAsia="Times New Roman" w:cs="Arial"/>
                <w:sz w:val="20"/>
                <w:szCs w:val="20"/>
                <w:lang w:eastAsia="en-GB"/>
              </w:rPr>
              <w:t> </w:t>
            </w:r>
          </w:p>
        </w:tc>
        <w:tc>
          <w:tcPr>
            <w:tcW w:w="3642" w:type="dxa"/>
            <w:tcBorders>
              <w:top w:val="nil"/>
              <w:left w:val="nil"/>
              <w:bottom w:val="single" w:sz="6" w:space="0" w:color="auto"/>
              <w:right w:val="single" w:sz="6" w:space="0" w:color="auto"/>
            </w:tcBorders>
            <w:shd w:val="clear" w:color="auto" w:fill="auto"/>
            <w:vAlign w:val="center"/>
            <w:hideMark/>
          </w:tcPr>
          <w:p w14:paraId="7D33DC68"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Grant Cost Centre Actual Spend 2021/22 </w:t>
            </w:r>
          </w:p>
        </w:tc>
        <w:tc>
          <w:tcPr>
            <w:tcW w:w="1486" w:type="dxa"/>
            <w:tcBorders>
              <w:top w:val="nil"/>
              <w:left w:val="nil"/>
              <w:bottom w:val="single" w:sz="6" w:space="0" w:color="auto"/>
              <w:right w:val="single" w:sz="6" w:space="0" w:color="auto"/>
            </w:tcBorders>
            <w:shd w:val="clear" w:color="auto" w:fill="auto"/>
            <w:vAlign w:val="center"/>
            <w:hideMark/>
          </w:tcPr>
          <w:p w14:paraId="499B8907"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2,382,616 </w:t>
            </w:r>
          </w:p>
        </w:tc>
        <w:tc>
          <w:tcPr>
            <w:tcW w:w="1345" w:type="dxa"/>
            <w:tcBorders>
              <w:top w:val="nil"/>
              <w:left w:val="nil"/>
              <w:bottom w:val="single" w:sz="6" w:space="0" w:color="auto"/>
              <w:right w:val="single" w:sz="6" w:space="0" w:color="auto"/>
            </w:tcBorders>
            <w:shd w:val="clear" w:color="auto" w:fill="auto"/>
            <w:vAlign w:val="center"/>
            <w:hideMark/>
          </w:tcPr>
          <w:p w14:paraId="6EE4A622"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1,387,336 </w:t>
            </w:r>
          </w:p>
        </w:tc>
        <w:tc>
          <w:tcPr>
            <w:tcW w:w="1476" w:type="dxa"/>
            <w:tcBorders>
              <w:top w:val="nil"/>
              <w:left w:val="nil"/>
              <w:bottom w:val="single" w:sz="6" w:space="0" w:color="auto"/>
              <w:right w:val="single" w:sz="6" w:space="0" w:color="auto"/>
            </w:tcBorders>
            <w:shd w:val="clear" w:color="auto" w:fill="auto"/>
            <w:vAlign w:val="center"/>
            <w:hideMark/>
          </w:tcPr>
          <w:p w14:paraId="54C66953"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3,769,952 </w:t>
            </w:r>
          </w:p>
        </w:tc>
      </w:tr>
      <w:tr w:rsidR="006E5B54" w14:paraId="66206735" w14:textId="77777777" w:rsidTr="003C7A3D">
        <w:trPr>
          <w:trHeight w:val="270"/>
        </w:trPr>
        <w:tc>
          <w:tcPr>
            <w:tcW w:w="975" w:type="dxa"/>
            <w:tcBorders>
              <w:top w:val="nil"/>
              <w:left w:val="single" w:sz="6" w:space="0" w:color="auto"/>
              <w:bottom w:val="nil"/>
              <w:right w:val="single" w:sz="6" w:space="0" w:color="auto"/>
            </w:tcBorders>
            <w:shd w:val="clear" w:color="auto" w:fill="FFF2CC"/>
            <w:vAlign w:val="center"/>
            <w:hideMark/>
          </w:tcPr>
          <w:p w14:paraId="19713653"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3642" w:type="dxa"/>
            <w:tcBorders>
              <w:top w:val="nil"/>
              <w:left w:val="nil"/>
              <w:bottom w:val="single" w:sz="6" w:space="0" w:color="auto"/>
              <w:right w:val="single" w:sz="6" w:space="0" w:color="auto"/>
            </w:tcBorders>
            <w:shd w:val="clear" w:color="auto" w:fill="auto"/>
            <w:vAlign w:val="center"/>
            <w:hideMark/>
          </w:tcPr>
          <w:p w14:paraId="273DC3E1"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Directorates Actual Spend 2021/22 </w:t>
            </w:r>
          </w:p>
        </w:tc>
        <w:tc>
          <w:tcPr>
            <w:tcW w:w="1486" w:type="dxa"/>
            <w:tcBorders>
              <w:top w:val="nil"/>
              <w:left w:val="nil"/>
              <w:bottom w:val="single" w:sz="6" w:space="0" w:color="auto"/>
              <w:right w:val="single" w:sz="6" w:space="0" w:color="auto"/>
            </w:tcBorders>
            <w:shd w:val="clear" w:color="auto" w:fill="auto"/>
            <w:vAlign w:val="center"/>
            <w:hideMark/>
          </w:tcPr>
          <w:p w14:paraId="07904B49"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6,407,147 </w:t>
            </w:r>
          </w:p>
        </w:tc>
        <w:tc>
          <w:tcPr>
            <w:tcW w:w="1345" w:type="dxa"/>
            <w:tcBorders>
              <w:top w:val="nil"/>
              <w:left w:val="nil"/>
              <w:bottom w:val="single" w:sz="6" w:space="0" w:color="auto"/>
              <w:right w:val="single" w:sz="6" w:space="0" w:color="auto"/>
            </w:tcBorders>
            <w:shd w:val="clear" w:color="auto" w:fill="auto"/>
            <w:vAlign w:val="center"/>
            <w:hideMark/>
          </w:tcPr>
          <w:p w14:paraId="45A4DA01" w14:textId="77777777" w:rsidR="00EF7B02" w:rsidRPr="00932279" w:rsidRDefault="00162F2E" w:rsidP="00EF7B02">
            <w:pPr>
              <w:autoSpaceDE/>
              <w:autoSpaceDN/>
              <w:adjustRightInd/>
              <w:spacing w:after="0"/>
              <w:jc w:val="center"/>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1476" w:type="dxa"/>
            <w:tcBorders>
              <w:top w:val="nil"/>
              <w:left w:val="nil"/>
              <w:bottom w:val="single" w:sz="6" w:space="0" w:color="auto"/>
              <w:right w:val="single" w:sz="6" w:space="0" w:color="auto"/>
            </w:tcBorders>
            <w:shd w:val="clear" w:color="auto" w:fill="auto"/>
            <w:vAlign w:val="center"/>
            <w:hideMark/>
          </w:tcPr>
          <w:p w14:paraId="604C31D3"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6,407,147 </w:t>
            </w:r>
          </w:p>
        </w:tc>
      </w:tr>
      <w:tr w:rsidR="006E5B54" w14:paraId="16ECCAD7" w14:textId="77777777" w:rsidTr="003C7A3D">
        <w:trPr>
          <w:trHeight w:val="435"/>
        </w:trPr>
        <w:tc>
          <w:tcPr>
            <w:tcW w:w="975" w:type="dxa"/>
            <w:tcBorders>
              <w:top w:val="nil"/>
              <w:left w:val="single" w:sz="6" w:space="0" w:color="auto"/>
              <w:bottom w:val="nil"/>
              <w:right w:val="single" w:sz="6" w:space="0" w:color="auto"/>
            </w:tcBorders>
            <w:shd w:val="clear" w:color="auto" w:fill="FFF2CC"/>
            <w:vAlign w:val="center"/>
            <w:hideMark/>
          </w:tcPr>
          <w:p w14:paraId="04244A41"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3642" w:type="dxa"/>
            <w:tcBorders>
              <w:top w:val="nil"/>
              <w:left w:val="nil"/>
              <w:bottom w:val="single" w:sz="6" w:space="0" w:color="auto"/>
              <w:right w:val="single" w:sz="6" w:space="0" w:color="auto"/>
            </w:tcBorders>
            <w:shd w:val="clear" w:color="auto" w:fill="D9D9D9"/>
            <w:vAlign w:val="center"/>
            <w:hideMark/>
          </w:tcPr>
          <w:p w14:paraId="7F414599"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b/>
                <w:bCs/>
                <w:i/>
                <w:iCs/>
                <w:sz w:val="20"/>
                <w:szCs w:val="20"/>
                <w:lang w:eastAsia="en-GB"/>
              </w:rPr>
              <w:t>Total Actual Spend 2021/22</w:t>
            </w:r>
            <w:r w:rsidRPr="00932279">
              <w:rPr>
                <w:rFonts w:eastAsia="Times New Roman" w:cs="Arial"/>
                <w:sz w:val="20"/>
                <w:szCs w:val="20"/>
                <w:lang w:eastAsia="en-GB"/>
              </w:rPr>
              <w:t> </w:t>
            </w:r>
          </w:p>
        </w:tc>
        <w:tc>
          <w:tcPr>
            <w:tcW w:w="1486" w:type="dxa"/>
            <w:tcBorders>
              <w:top w:val="nil"/>
              <w:left w:val="nil"/>
              <w:bottom w:val="single" w:sz="6" w:space="0" w:color="auto"/>
              <w:right w:val="single" w:sz="6" w:space="0" w:color="auto"/>
            </w:tcBorders>
            <w:shd w:val="clear" w:color="auto" w:fill="D9D9D9"/>
            <w:vAlign w:val="center"/>
            <w:hideMark/>
          </w:tcPr>
          <w:p w14:paraId="0618024F"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i/>
                <w:iCs/>
                <w:sz w:val="20"/>
                <w:szCs w:val="20"/>
                <w:lang w:eastAsia="en-GB"/>
              </w:rPr>
              <w:t>8,789,763</w:t>
            </w:r>
            <w:r w:rsidRPr="00932279">
              <w:rPr>
                <w:rFonts w:eastAsia="Times New Roman" w:cs="Arial"/>
                <w:sz w:val="20"/>
                <w:szCs w:val="20"/>
                <w:lang w:eastAsia="en-GB"/>
              </w:rPr>
              <w:t> </w:t>
            </w:r>
          </w:p>
        </w:tc>
        <w:tc>
          <w:tcPr>
            <w:tcW w:w="1345" w:type="dxa"/>
            <w:tcBorders>
              <w:top w:val="nil"/>
              <w:left w:val="nil"/>
              <w:bottom w:val="single" w:sz="6" w:space="0" w:color="auto"/>
              <w:right w:val="single" w:sz="6" w:space="0" w:color="auto"/>
            </w:tcBorders>
            <w:shd w:val="clear" w:color="auto" w:fill="D9D9D9"/>
            <w:vAlign w:val="center"/>
            <w:hideMark/>
          </w:tcPr>
          <w:p w14:paraId="621D50C3"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i/>
                <w:iCs/>
                <w:sz w:val="20"/>
                <w:szCs w:val="20"/>
                <w:lang w:eastAsia="en-GB"/>
              </w:rPr>
              <w:t>1,387,336</w:t>
            </w:r>
            <w:r w:rsidRPr="00932279">
              <w:rPr>
                <w:rFonts w:eastAsia="Times New Roman" w:cs="Arial"/>
                <w:sz w:val="20"/>
                <w:szCs w:val="20"/>
                <w:lang w:eastAsia="en-GB"/>
              </w:rPr>
              <w:t> </w:t>
            </w:r>
          </w:p>
        </w:tc>
        <w:tc>
          <w:tcPr>
            <w:tcW w:w="1476" w:type="dxa"/>
            <w:tcBorders>
              <w:top w:val="nil"/>
              <w:left w:val="nil"/>
              <w:bottom w:val="single" w:sz="6" w:space="0" w:color="auto"/>
              <w:right w:val="single" w:sz="6" w:space="0" w:color="auto"/>
            </w:tcBorders>
            <w:shd w:val="clear" w:color="auto" w:fill="D9D9D9"/>
            <w:vAlign w:val="center"/>
            <w:hideMark/>
          </w:tcPr>
          <w:p w14:paraId="19B02E4C"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i/>
                <w:iCs/>
                <w:sz w:val="20"/>
                <w:szCs w:val="20"/>
                <w:lang w:eastAsia="en-GB"/>
              </w:rPr>
              <w:t>10,177,099</w:t>
            </w:r>
            <w:r w:rsidRPr="00932279">
              <w:rPr>
                <w:rFonts w:eastAsia="Times New Roman" w:cs="Arial"/>
                <w:sz w:val="20"/>
                <w:szCs w:val="20"/>
                <w:lang w:eastAsia="en-GB"/>
              </w:rPr>
              <w:t> </w:t>
            </w:r>
          </w:p>
        </w:tc>
      </w:tr>
      <w:tr w:rsidR="006E5B54" w14:paraId="77974AA1" w14:textId="77777777" w:rsidTr="003C7A3D">
        <w:trPr>
          <w:trHeight w:val="375"/>
        </w:trPr>
        <w:tc>
          <w:tcPr>
            <w:tcW w:w="975" w:type="dxa"/>
            <w:tcBorders>
              <w:top w:val="nil"/>
              <w:left w:val="single" w:sz="6" w:space="0" w:color="auto"/>
              <w:bottom w:val="single" w:sz="6" w:space="0" w:color="auto"/>
              <w:right w:val="single" w:sz="6" w:space="0" w:color="auto"/>
            </w:tcBorders>
            <w:shd w:val="clear" w:color="auto" w:fill="FFF2CC"/>
            <w:vAlign w:val="center"/>
            <w:hideMark/>
          </w:tcPr>
          <w:p w14:paraId="152E5A8C"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3642" w:type="dxa"/>
            <w:tcBorders>
              <w:top w:val="nil"/>
              <w:left w:val="nil"/>
              <w:bottom w:val="single" w:sz="6" w:space="0" w:color="auto"/>
              <w:right w:val="single" w:sz="6" w:space="0" w:color="auto"/>
            </w:tcBorders>
            <w:shd w:val="clear" w:color="auto" w:fill="D9E2F3"/>
            <w:vAlign w:val="center"/>
            <w:hideMark/>
          </w:tcPr>
          <w:p w14:paraId="2E54686E"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b/>
                <w:bCs/>
                <w:sz w:val="20"/>
                <w:szCs w:val="20"/>
                <w:lang w:eastAsia="en-GB"/>
              </w:rPr>
              <w:t>Closing Balance as at 31/03/2022</w:t>
            </w:r>
            <w:r w:rsidRPr="00932279">
              <w:rPr>
                <w:rFonts w:eastAsia="Times New Roman" w:cs="Arial"/>
                <w:sz w:val="20"/>
                <w:szCs w:val="20"/>
                <w:lang w:eastAsia="en-GB"/>
              </w:rPr>
              <w:t> </w:t>
            </w:r>
          </w:p>
        </w:tc>
        <w:tc>
          <w:tcPr>
            <w:tcW w:w="1486" w:type="dxa"/>
            <w:tcBorders>
              <w:top w:val="nil"/>
              <w:left w:val="nil"/>
              <w:bottom w:val="single" w:sz="6" w:space="0" w:color="auto"/>
              <w:right w:val="single" w:sz="6" w:space="0" w:color="auto"/>
            </w:tcBorders>
            <w:shd w:val="clear" w:color="auto" w:fill="D9E2F3"/>
            <w:vAlign w:val="center"/>
            <w:hideMark/>
          </w:tcPr>
          <w:p w14:paraId="773706F2"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sz w:val="20"/>
                <w:szCs w:val="20"/>
                <w:lang w:eastAsia="en-GB"/>
              </w:rPr>
              <w:t>-</w:t>
            </w:r>
            <w:r w:rsidRPr="00932279">
              <w:rPr>
                <w:rFonts w:eastAsia="Times New Roman" w:cs="Arial"/>
                <w:b/>
                <w:sz w:val="20"/>
                <w:szCs w:val="20"/>
                <w:lang w:eastAsia="en-GB"/>
              </w:rPr>
              <w:t>22,140,084</w:t>
            </w:r>
            <w:r w:rsidRPr="00932279">
              <w:rPr>
                <w:rFonts w:eastAsia="Times New Roman" w:cs="Arial"/>
                <w:sz w:val="20"/>
                <w:szCs w:val="20"/>
                <w:lang w:eastAsia="en-GB"/>
              </w:rPr>
              <w:t> </w:t>
            </w:r>
          </w:p>
        </w:tc>
        <w:tc>
          <w:tcPr>
            <w:tcW w:w="1345" w:type="dxa"/>
            <w:tcBorders>
              <w:top w:val="nil"/>
              <w:left w:val="nil"/>
              <w:bottom w:val="single" w:sz="6" w:space="0" w:color="auto"/>
              <w:right w:val="single" w:sz="6" w:space="0" w:color="auto"/>
            </w:tcBorders>
            <w:shd w:val="clear" w:color="auto" w:fill="D9E2F3"/>
            <w:vAlign w:val="center"/>
            <w:hideMark/>
          </w:tcPr>
          <w:p w14:paraId="15125A98"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sz w:val="20"/>
                <w:szCs w:val="20"/>
                <w:lang w:eastAsia="en-GB"/>
              </w:rPr>
              <w:t>-3,659,351</w:t>
            </w:r>
            <w:r w:rsidRPr="00932279">
              <w:rPr>
                <w:rFonts w:eastAsia="Times New Roman" w:cs="Arial"/>
                <w:sz w:val="20"/>
                <w:szCs w:val="20"/>
                <w:lang w:eastAsia="en-GB"/>
              </w:rPr>
              <w:t> </w:t>
            </w:r>
          </w:p>
        </w:tc>
        <w:tc>
          <w:tcPr>
            <w:tcW w:w="1476" w:type="dxa"/>
            <w:tcBorders>
              <w:top w:val="nil"/>
              <w:left w:val="nil"/>
              <w:bottom w:val="single" w:sz="6" w:space="0" w:color="auto"/>
              <w:right w:val="single" w:sz="6" w:space="0" w:color="auto"/>
            </w:tcBorders>
            <w:shd w:val="clear" w:color="auto" w:fill="D9E2F3"/>
            <w:vAlign w:val="center"/>
            <w:hideMark/>
          </w:tcPr>
          <w:p w14:paraId="7C2A2340"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b/>
                <w:bCs/>
                <w:sz w:val="20"/>
                <w:szCs w:val="20"/>
                <w:lang w:eastAsia="en-GB"/>
              </w:rPr>
              <w:t>-25,799,435</w:t>
            </w:r>
            <w:r w:rsidRPr="00932279">
              <w:rPr>
                <w:rFonts w:eastAsia="Times New Roman" w:cs="Arial"/>
                <w:sz w:val="20"/>
                <w:szCs w:val="20"/>
                <w:lang w:eastAsia="en-GB"/>
              </w:rPr>
              <w:t> </w:t>
            </w:r>
          </w:p>
        </w:tc>
      </w:tr>
      <w:tr w:rsidR="006E5B54" w14:paraId="715A66FF" w14:textId="77777777" w:rsidTr="003C7A3D">
        <w:trPr>
          <w:trHeight w:val="465"/>
        </w:trPr>
        <w:tc>
          <w:tcPr>
            <w:tcW w:w="975" w:type="dxa"/>
            <w:vMerge w:val="restart"/>
            <w:tcBorders>
              <w:top w:val="single" w:sz="6" w:space="0" w:color="auto"/>
              <w:left w:val="single" w:sz="6" w:space="0" w:color="auto"/>
              <w:bottom w:val="nil"/>
              <w:right w:val="single" w:sz="6" w:space="0" w:color="auto"/>
            </w:tcBorders>
            <w:shd w:val="clear" w:color="auto" w:fill="DDEBF7"/>
            <w:vAlign w:val="center"/>
            <w:hideMark/>
          </w:tcPr>
          <w:p w14:paraId="0216F06A"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b/>
                <w:bCs/>
                <w:sz w:val="20"/>
                <w:szCs w:val="20"/>
                <w:lang w:eastAsia="en-GB"/>
              </w:rPr>
              <w:t> 2022/23</w:t>
            </w:r>
            <w:r w:rsidRPr="00932279">
              <w:rPr>
                <w:rFonts w:eastAsia="Times New Roman" w:cs="Arial"/>
                <w:sz w:val="20"/>
                <w:szCs w:val="20"/>
                <w:lang w:eastAsia="en-GB"/>
              </w:rPr>
              <w:t> </w:t>
            </w:r>
          </w:p>
          <w:p w14:paraId="4511B19A"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sz w:val="20"/>
                <w:szCs w:val="20"/>
                <w:lang w:eastAsia="en-GB"/>
              </w:rPr>
              <w:t>  </w:t>
            </w:r>
          </w:p>
        </w:tc>
        <w:tc>
          <w:tcPr>
            <w:tcW w:w="3642" w:type="dxa"/>
            <w:tcBorders>
              <w:top w:val="single" w:sz="6" w:space="0" w:color="auto"/>
              <w:left w:val="nil"/>
              <w:bottom w:val="single" w:sz="6" w:space="0" w:color="auto"/>
              <w:right w:val="nil"/>
            </w:tcBorders>
            <w:shd w:val="clear" w:color="auto" w:fill="auto"/>
            <w:vAlign w:val="center"/>
            <w:hideMark/>
          </w:tcPr>
          <w:p w14:paraId="52D74966" w14:textId="77777777" w:rsidR="00EF7B02" w:rsidRPr="00932279" w:rsidRDefault="00162F2E" w:rsidP="00EF7B02">
            <w:pPr>
              <w:autoSpaceDE/>
              <w:autoSpaceDN/>
              <w:adjustRightInd/>
              <w:spacing w:after="0"/>
              <w:jc w:val="left"/>
              <w:textAlignment w:val="baseline"/>
              <w:rPr>
                <w:rFonts w:eastAsia="Times New Roman" w:cs="Arial"/>
                <w:color w:val="auto"/>
                <w:sz w:val="20"/>
                <w:szCs w:val="20"/>
                <w:lang w:eastAsia="en-GB"/>
              </w:rPr>
            </w:pPr>
            <w:r w:rsidRPr="00932279">
              <w:rPr>
                <w:rFonts w:eastAsia="Times New Roman" w:cs="Arial"/>
                <w:i/>
                <w:iCs/>
                <w:sz w:val="20"/>
                <w:szCs w:val="20"/>
                <w:lang w:eastAsia="en-GB"/>
              </w:rPr>
              <w:t>Less Draft Estimated Commitments in 2022/23</w:t>
            </w:r>
            <w:r w:rsidRPr="00932279">
              <w:rPr>
                <w:rFonts w:eastAsia="Times New Roman" w:cs="Arial"/>
                <w:sz w:val="20"/>
                <w:szCs w:val="20"/>
                <w:lang w:eastAsia="en-GB"/>
              </w:rPr>
              <w:t> </w:t>
            </w:r>
          </w:p>
        </w:tc>
        <w:tc>
          <w:tcPr>
            <w:tcW w:w="1486" w:type="dxa"/>
            <w:tcBorders>
              <w:top w:val="nil"/>
              <w:left w:val="single" w:sz="6" w:space="0" w:color="auto"/>
              <w:bottom w:val="single" w:sz="6" w:space="0" w:color="auto"/>
              <w:right w:val="single" w:sz="6" w:space="0" w:color="auto"/>
            </w:tcBorders>
            <w:shd w:val="clear" w:color="auto" w:fill="auto"/>
            <w:vAlign w:val="center"/>
            <w:hideMark/>
          </w:tcPr>
          <w:p w14:paraId="2827A07A"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 16,730,000 </w:t>
            </w:r>
          </w:p>
        </w:tc>
        <w:tc>
          <w:tcPr>
            <w:tcW w:w="1345" w:type="dxa"/>
            <w:tcBorders>
              <w:top w:val="nil"/>
              <w:left w:val="nil"/>
              <w:bottom w:val="single" w:sz="6" w:space="0" w:color="auto"/>
              <w:right w:val="single" w:sz="6" w:space="0" w:color="auto"/>
            </w:tcBorders>
            <w:shd w:val="clear" w:color="auto" w:fill="auto"/>
            <w:vAlign w:val="center"/>
            <w:hideMark/>
          </w:tcPr>
          <w:p w14:paraId="13443AAB"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 250,000 </w:t>
            </w:r>
          </w:p>
        </w:tc>
        <w:tc>
          <w:tcPr>
            <w:tcW w:w="1476" w:type="dxa"/>
            <w:tcBorders>
              <w:top w:val="nil"/>
              <w:left w:val="nil"/>
              <w:bottom w:val="single" w:sz="6" w:space="0" w:color="auto"/>
              <w:right w:val="single" w:sz="6" w:space="0" w:color="auto"/>
            </w:tcBorders>
            <w:shd w:val="clear" w:color="auto" w:fill="auto"/>
            <w:vAlign w:val="center"/>
            <w:hideMark/>
          </w:tcPr>
          <w:p w14:paraId="3B8B7D80" w14:textId="77777777" w:rsidR="00EF7B02" w:rsidRPr="00932279" w:rsidRDefault="00162F2E" w:rsidP="00EF7B02">
            <w:pPr>
              <w:autoSpaceDE/>
              <w:autoSpaceDN/>
              <w:adjustRightInd/>
              <w:spacing w:after="0"/>
              <w:jc w:val="right"/>
              <w:textAlignment w:val="baseline"/>
              <w:rPr>
                <w:rFonts w:eastAsia="Times New Roman" w:cs="Arial"/>
                <w:color w:val="auto"/>
                <w:sz w:val="20"/>
                <w:szCs w:val="20"/>
                <w:lang w:eastAsia="en-GB"/>
              </w:rPr>
            </w:pPr>
            <w:r w:rsidRPr="00932279">
              <w:rPr>
                <w:rFonts w:eastAsia="Times New Roman" w:cs="Arial"/>
                <w:sz w:val="20"/>
                <w:szCs w:val="20"/>
                <w:lang w:eastAsia="en-GB"/>
              </w:rPr>
              <w:t> 16,980,000 </w:t>
            </w:r>
          </w:p>
        </w:tc>
      </w:tr>
      <w:tr w:rsidR="006E5B54" w14:paraId="7351E827" w14:textId="77777777" w:rsidTr="003C7A3D">
        <w:trPr>
          <w:trHeight w:val="630"/>
        </w:trPr>
        <w:tc>
          <w:tcPr>
            <w:tcW w:w="0" w:type="auto"/>
            <w:vMerge/>
            <w:tcBorders>
              <w:top w:val="nil"/>
              <w:left w:val="single" w:sz="6" w:space="0" w:color="auto"/>
              <w:bottom w:val="single" w:sz="4" w:space="0" w:color="auto"/>
              <w:right w:val="single" w:sz="6" w:space="0" w:color="auto"/>
            </w:tcBorders>
            <w:shd w:val="clear" w:color="auto" w:fill="auto"/>
            <w:vAlign w:val="center"/>
            <w:hideMark/>
          </w:tcPr>
          <w:p w14:paraId="342E3A20" w14:textId="77777777" w:rsidR="00EF7B02" w:rsidRPr="00C904A5" w:rsidRDefault="00EF7B02" w:rsidP="00EF7B02">
            <w:pPr>
              <w:autoSpaceDE/>
              <w:autoSpaceDN/>
              <w:adjustRightInd/>
              <w:spacing w:after="0"/>
              <w:jc w:val="left"/>
              <w:rPr>
                <w:rFonts w:eastAsia="Times New Roman" w:cs="Arial"/>
                <w:color w:val="auto"/>
                <w:sz w:val="20"/>
                <w:szCs w:val="20"/>
                <w:lang w:eastAsia="en-GB"/>
              </w:rPr>
            </w:pPr>
          </w:p>
        </w:tc>
        <w:tc>
          <w:tcPr>
            <w:tcW w:w="3642" w:type="dxa"/>
            <w:tcBorders>
              <w:top w:val="single" w:sz="6" w:space="0" w:color="auto"/>
              <w:left w:val="nil"/>
              <w:bottom w:val="single" w:sz="4" w:space="0" w:color="auto"/>
              <w:right w:val="single" w:sz="6" w:space="0" w:color="auto"/>
            </w:tcBorders>
            <w:shd w:val="clear" w:color="auto" w:fill="FBE4D5"/>
            <w:vAlign w:val="center"/>
            <w:hideMark/>
          </w:tcPr>
          <w:p w14:paraId="6C78B045" w14:textId="77777777" w:rsidR="00EF7B02" w:rsidRPr="00C904A5" w:rsidRDefault="00162F2E" w:rsidP="00EF7B02">
            <w:pPr>
              <w:autoSpaceDE/>
              <w:autoSpaceDN/>
              <w:adjustRightInd/>
              <w:spacing w:after="0"/>
              <w:jc w:val="left"/>
              <w:textAlignment w:val="baseline"/>
              <w:rPr>
                <w:rFonts w:eastAsia="Times New Roman" w:cs="Arial"/>
                <w:color w:val="auto"/>
                <w:sz w:val="20"/>
                <w:szCs w:val="20"/>
                <w:lang w:eastAsia="en-GB"/>
              </w:rPr>
            </w:pPr>
            <w:r w:rsidRPr="00C904A5">
              <w:rPr>
                <w:rFonts w:eastAsia="Times New Roman" w:cs="Arial"/>
                <w:b/>
                <w:bCs/>
                <w:sz w:val="20"/>
                <w:szCs w:val="20"/>
                <w:lang w:eastAsia="en-GB"/>
              </w:rPr>
              <w:t xml:space="preserve">Estimated </w:t>
            </w:r>
            <w:r w:rsidR="00DE196F" w:rsidRPr="00C904A5">
              <w:rPr>
                <w:rFonts w:eastAsia="Times New Roman" w:cs="Arial"/>
                <w:b/>
                <w:bCs/>
                <w:sz w:val="20"/>
                <w:szCs w:val="20"/>
                <w:lang w:eastAsia="en-GB"/>
              </w:rPr>
              <w:t xml:space="preserve">Uncommitted Balance </w:t>
            </w:r>
            <w:r w:rsidR="00EB147D">
              <w:rPr>
                <w:rFonts w:eastAsia="Times New Roman" w:cs="Arial"/>
                <w:b/>
                <w:bCs/>
                <w:sz w:val="20"/>
                <w:szCs w:val="20"/>
                <w:lang w:eastAsia="en-GB"/>
              </w:rPr>
              <w:t>as at</w:t>
            </w:r>
            <w:r w:rsidR="00DE196F">
              <w:rPr>
                <w:rFonts w:eastAsia="Times New Roman" w:cs="Arial"/>
                <w:b/>
                <w:sz w:val="20"/>
                <w:szCs w:val="20"/>
                <w:lang w:eastAsia="en-GB"/>
              </w:rPr>
              <w:t xml:space="preserve"> </w:t>
            </w:r>
            <w:r w:rsidR="00DE196F" w:rsidRPr="00EB147D">
              <w:rPr>
                <w:rFonts w:eastAsia="Times New Roman" w:cs="Arial"/>
                <w:b/>
                <w:sz w:val="20"/>
                <w:szCs w:val="20"/>
                <w:lang w:eastAsia="en-GB"/>
              </w:rPr>
              <w:t>31/03/2023</w:t>
            </w:r>
            <w:r w:rsidR="00DE196F" w:rsidRPr="00EB147D">
              <w:rPr>
                <w:rFonts w:eastAsia="Times New Roman" w:cs="Arial"/>
                <w:sz w:val="20"/>
                <w:szCs w:val="20"/>
                <w:lang w:eastAsia="en-GB"/>
              </w:rPr>
              <w:t> </w:t>
            </w:r>
          </w:p>
        </w:tc>
        <w:tc>
          <w:tcPr>
            <w:tcW w:w="1486" w:type="dxa"/>
            <w:tcBorders>
              <w:top w:val="single" w:sz="6" w:space="0" w:color="auto"/>
              <w:left w:val="nil"/>
              <w:bottom w:val="single" w:sz="6" w:space="0" w:color="auto"/>
              <w:right w:val="single" w:sz="6" w:space="0" w:color="auto"/>
            </w:tcBorders>
            <w:shd w:val="clear" w:color="auto" w:fill="FBE4D5"/>
            <w:vAlign w:val="center"/>
            <w:hideMark/>
          </w:tcPr>
          <w:p w14:paraId="6D0F2E51" w14:textId="77777777" w:rsidR="00EF7B02" w:rsidRPr="00C904A5" w:rsidRDefault="00162F2E" w:rsidP="00EF7B02">
            <w:pPr>
              <w:autoSpaceDE/>
              <w:autoSpaceDN/>
              <w:adjustRightInd/>
              <w:spacing w:after="0"/>
              <w:jc w:val="right"/>
              <w:textAlignment w:val="baseline"/>
              <w:rPr>
                <w:rFonts w:eastAsia="Times New Roman" w:cs="Arial"/>
                <w:color w:val="auto"/>
                <w:sz w:val="20"/>
                <w:szCs w:val="20"/>
                <w:lang w:eastAsia="en-GB"/>
              </w:rPr>
            </w:pPr>
            <w:r w:rsidRPr="00C904A5">
              <w:rPr>
                <w:rFonts w:eastAsia="Times New Roman" w:cs="Arial"/>
                <w:b/>
                <w:bCs/>
                <w:sz w:val="20"/>
                <w:szCs w:val="20"/>
                <w:lang w:eastAsia="en-GB"/>
              </w:rPr>
              <w:t>-5,410,084</w:t>
            </w:r>
            <w:r w:rsidRPr="00C904A5">
              <w:rPr>
                <w:rFonts w:eastAsia="Times New Roman" w:cs="Arial"/>
                <w:sz w:val="20"/>
                <w:szCs w:val="20"/>
                <w:lang w:eastAsia="en-GB"/>
              </w:rPr>
              <w:t> </w:t>
            </w:r>
          </w:p>
        </w:tc>
        <w:tc>
          <w:tcPr>
            <w:tcW w:w="1345" w:type="dxa"/>
            <w:tcBorders>
              <w:top w:val="single" w:sz="6" w:space="0" w:color="auto"/>
              <w:left w:val="nil"/>
              <w:bottom w:val="single" w:sz="6" w:space="0" w:color="auto"/>
              <w:right w:val="single" w:sz="6" w:space="0" w:color="auto"/>
            </w:tcBorders>
            <w:shd w:val="clear" w:color="auto" w:fill="FBE4D5"/>
            <w:vAlign w:val="center"/>
            <w:hideMark/>
          </w:tcPr>
          <w:p w14:paraId="7A70BEF3" w14:textId="77777777" w:rsidR="00EF7B02" w:rsidRPr="00C904A5" w:rsidRDefault="00162F2E" w:rsidP="00EF7B02">
            <w:pPr>
              <w:autoSpaceDE/>
              <w:autoSpaceDN/>
              <w:adjustRightInd/>
              <w:spacing w:after="0"/>
              <w:jc w:val="right"/>
              <w:textAlignment w:val="baseline"/>
              <w:rPr>
                <w:rFonts w:eastAsia="Times New Roman" w:cs="Arial"/>
                <w:color w:val="auto"/>
                <w:sz w:val="20"/>
                <w:szCs w:val="20"/>
                <w:lang w:eastAsia="en-GB"/>
              </w:rPr>
            </w:pPr>
            <w:r w:rsidRPr="00C904A5">
              <w:rPr>
                <w:rFonts w:eastAsia="Times New Roman" w:cs="Arial"/>
                <w:b/>
                <w:bCs/>
                <w:sz w:val="20"/>
                <w:szCs w:val="20"/>
                <w:lang w:eastAsia="en-GB"/>
              </w:rPr>
              <w:t>-3,409,351</w:t>
            </w:r>
            <w:r w:rsidRPr="00C904A5">
              <w:rPr>
                <w:rFonts w:eastAsia="Times New Roman" w:cs="Arial"/>
                <w:sz w:val="20"/>
                <w:szCs w:val="20"/>
                <w:lang w:eastAsia="en-GB"/>
              </w:rPr>
              <w:t> </w:t>
            </w:r>
          </w:p>
        </w:tc>
        <w:tc>
          <w:tcPr>
            <w:tcW w:w="1476" w:type="dxa"/>
            <w:tcBorders>
              <w:top w:val="single" w:sz="6" w:space="0" w:color="auto"/>
              <w:left w:val="nil"/>
              <w:bottom w:val="single" w:sz="6" w:space="0" w:color="auto"/>
              <w:right w:val="single" w:sz="6" w:space="0" w:color="auto"/>
            </w:tcBorders>
            <w:shd w:val="clear" w:color="auto" w:fill="FBE4D5"/>
            <w:vAlign w:val="center"/>
            <w:hideMark/>
          </w:tcPr>
          <w:p w14:paraId="525A7546" w14:textId="77777777" w:rsidR="00EF7B02" w:rsidRPr="00C904A5" w:rsidRDefault="00162F2E" w:rsidP="00EF7B02">
            <w:pPr>
              <w:autoSpaceDE/>
              <w:autoSpaceDN/>
              <w:adjustRightInd/>
              <w:spacing w:after="0"/>
              <w:jc w:val="right"/>
              <w:textAlignment w:val="baseline"/>
              <w:rPr>
                <w:rFonts w:eastAsia="Times New Roman" w:cs="Arial"/>
                <w:color w:val="auto"/>
                <w:sz w:val="20"/>
                <w:szCs w:val="20"/>
                <w:lang w:eastAsia="en-GB"/>
              </w:rPr>
            </w:pPr>
            <w:r w:rsidRPr="00C904A5">
              <w:rPr>
                <w:rFonts w:eastAsia="Times New Roman" w:cs="Arial"/>
                <w:b/>
                <w:bCs/>
                <w:sz w:val="20"/>
                <w:szCs w:val="20"/>
                <w:lang w:eastAsia="en-GB"/>
              </w:rPr>
              <w:t>-8,819,435</w:t>
            </w:r>
            <w:r w:rsidRPr="00C904A5">
              <w:rPr>
                <w:rFonts w:eastAsia="Times New Roman" w:cs="Arial"/>
                <w:sz w:val="20"/>
                <w:szCs w:val="20"/>
                <w:lang w:eastAsia="en-GB"/>
              </w:rPr>
              <w:t> </w:t>
            </w:r>
          </w:p>
        </w:tc>
      </w:tr>
    </w:tbl>
    <w:p w14:paraId="3FD387AD" w14:textId="42BA0E57" w:rsidR="00D10794" w:rsidRPr="00642D26" w:rsidRDefault="00162F2E" w:rsidP="00642D26">
      <w:pPr>
        <w:autoSpaceDE/>
        <w:autoSpaceDN/>
        <w:adjustRightInd/>
        <w:spacing w:after="0"/>
        <w:textAlignment w:val="baseline"/>
        <w:rPr>
          <w:rFonts w:eastAsia="Times New Roman" w:cs="Arial"/>
          <w:color w:val="auto"/>
          <w:lang w:eastAsia="en-GB"/>
        </w:rPr>
      </w:pPr>
      <w:r w:rsidRPr="00EF7B02">
        <w:rPr>
          <w:rFonts w:eastAsia="Times New Roman" w:cs="Arial"/>
          <w:color w:val="auto"/>
          <w:lang w:eastAsia="en-GB"/>
        </w:rPr>
        <w:t> </w:t>
      </w:r>
    </w:p>
    <w:p w14:paraId="3108D00A" w14:textId="77777777" w:rsidR="00D10794" w:rsidRPr="0030085B" w:rsidRDefault="00162F2E" w:rsidP="00D10794">
      <w:pPr>
        <w:spacing w:after="0"/>
        <w:rPr>
          <w:rFonts w:cs="Arial"/>
          <w:b/>
        </w:rPr>
      </w:pPr>
      <w:r w:rsidRPr="0030085B">
        <w:rPr>
          <w:rFonts w:eastAsia="Times New Roman" w:cs="Arial"/>
          <w:b/>
          <w:lang w:eastAsia="en-GB"/>
        </w:rPr>
        <w:t>3.3</w:t>
      </w:r>
      <w:r>
        <w:tab/>
      </w:r>
      <w:r w:rsidRPr="0030085B">
        <w:rPr>
          <w:rFonts w:cs="Arial"/>
          <w:b/>
        </w:rPr>
        <w:t>Policy, Information, Commissioning and Safeguarding</w:t>
      </w:r>
    </w:p>
    <w:p w14:paraId="3A21E175" w14:textId="77777777" w:rsidR="00507CE5" w:rsidRPr="0030085B" w:rsidRDefault="00507CE5" w:rsidP="00D10794">
      <w:pPr>
        <w:spacing w:after="0"/>
        <w:rPr>
          <w:rFonts w:cs="Arial"/>
          <w:b/>
        </w:rPr>
      </w:pPr>
    </w:p>
    <w:tbl>
      <w:tblPr>
        <w:tblW w:w="88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9"/>
        <w:gridCol w:w="1040"/>
        <w:gridCol w:w="1121"/>
        <w:gridCol w:w="1304"/>
        <w:gridCol w:w="967"/>
        <w:gridCol w:w="1371"/>
        <w:gridCol w:w="1156"/>
      </w:tblGrid>
      <w:tr w:rsidR="006E5B54" w14:paraId="52B3ECD0" w14:textId="77777777" w:rsidTr="0CFBF26B">
        <w:trPr>
          <w:trHeight w:val="690"/>
        </w:trPr>
        <w:tc>
          <w:tcPr>
            <w:tcW w:w="1976"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40D30678" w14:textId="77777777" w:rsidR="00507CE5" w:rsidRPr="00507CE5" w:rsidRDefault="00162F2E" w:rsidP="00507CE5">
            <w:pPr>
              <w:autoSpaceDE/>
              <w:autoSpaceDN/>
              <w:adjustRightInd/>
              <w:spacing w:after="0"/>
              <w:jc w:val="left"/>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Policy, Information, Commissioning and Safeguarding</w:t>
            </w:r>
            <w:r w:rsidRPr="00507CE5">
              <w:rPr>
                <w:rFonts w:eastAsia="Times New Roman" w:cs="Arial"/>
                <w:color w:val="auto"/>
                <w:sz w:val="20"/>
                <w:szCs w:val="20"/>
                <w:lang w:eastAsia="en-GB"/>
              </w:rPr>
              <w:t> </w:t>
            </w:r>
          </w:p>
        </w:tc>
        <w:tc>
          <w:tcPr>
            <w:tcW w:w="1068" w:type="dxa"/>
            <w:tcBorders>
              <w:top w:val="single" w:sz="6" w:space="0" w:color="auto"/>
              <w:left w:val="nil"/>
              <w:bottom w:val="nil"/>
              <w:right w:val="single" w:sz="6" w:space="0" w:color="auto"/>
            </w:tcBorders>
            <w:shd w:val="clear" w:color="auto" w:fill="D9D9D9" w:themeFill="background1" w:themeFillShade="D9"/>
            <w:vAlign w:val="center"/>
            <w:hideMark/>
          </w:tcPr>
          <w:p w14:paraId="7AABEF93"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sz w:val="20"/>
                <w:szCs w:val="20"/>
                <w:lang w:eastAsia="en-GB"/>
              </w:rPr>
              <w:t>Approved Net Budget </w:t>
            </w:r>
            <w:r w:rsidRPr="00507CE5">
              <w:rPr>
                <w:rFonts w:eastAsia="Times New Roman" w:cs="Arial"/>
                <w:sz w:val="20"/>
                <w:szCs w:val="20"/>
                <w:lang w:eastAsia="en-GB"/>
              </w:rPr>
              <w:t> </w:t>
            </w:r>
          </w:p>
        </w:tc>
        <w:tc>
          <w:tcPr>
            <w:tcW w:w="1201" w:type="dxa"/>
            <w:tcBorders>
              <w:top w:val="single" w:sz="6" w:space="0" w:color="auto"/>
              <w:left w:val="nil"/>
              <w:bottom w:val="nil"/>
              <w:right w:val="single" w:sz="6" w:space="0" w:color="auto"/>
            </w:tcBorders>
            <w:shd w:val="clear" w:color="auto" w:fill="D9D9D9" w:themeFill="background1" w:themeFillShade="D9"/>
            <w:vAlign w:val="center"/>
            <w:hideMark/>
          </w:tcPr>
          <w:p w14:paraId="3112CD45" w14:textId="77777777" w:rsidR="00A16010" w:rsidRDefault="00162F2E" w:rsidP="00507CE5">
            <w:pPr>
              <w:autoSpaceDE/>
              <w:autoSpaceDN/>
              <w:adjustRightInd/>
              <w:spacing w:after="0"/>
              <w:jc w:val="center"/>
              <w:textAlignment w:val="baseline"/>
              <w:rPr>
                <w:rFonts w:eastAsia="Times New Roman" w:cs="Arial"/>
                <w:b/>
                <w:bCs/>
                <w:sz w:val="20"/>
                <w:szCs w:val="20"/>
                <w:lang w:eastAsia="en-GB"/>
              </w:rPr>
            </w:pPr>
            <w:r w:rsidRPr="00507CE5">
              <w:rPr>
                <w:rFonts w:eastAsia="Times New Roman" w:cs="Arial"/>
                <w:b/>
                <w:bCs/>
                <w:sz w:val="20"/>
                <w:szCs w:val="20"/>
                <w:lang w:eastAsia="en-GB"/>
              </w:rPr>
              <w:t>Net</w:t>
            </w:r>
          </w:p>
          <w:p w14:paraId="39599513"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sz w:val="20"/>
                <w:szCs w:val="20"/>
                <w:lang w:eastAsia="en-GB"/>
              </w:rPr>
              <w:t>Outturn </w:t>
            </w:r>
            <w:r w:rsidRPr="00507CE5">
              <w:rPr>
                <w:rFonts w:eastAsia="Times New Roman" w:cs="Arial"/>
                <w:sz w:val="20"/>
                <w:szCs w:val="20"/>
                <w:lang w:eastAsia="en-GB"/>
              </w:rPr>
              <w:t> </w:t>
            </w:r>
          </w:p>
        </w:tc>
        <w:tc>
          <w:tcPr>
            <w:tcW w:w="1304" w:type="dxa"/>
            <w:tcBorders>
              <w:top w:val="single" w:sz="6" w:space="0" w:color="auto"/>
              <w:left w:val="nil"/>
              <w:bottom w:val="nil"/>
              <w:right w:val="single" w:sz="6" w:space="0" w:color="auto"/>
            </w:tcBorders>
            <w:shd w:val="clear" w:color="auto" w:fill="D9D9D9" w:themeFill="background1" w:themeFillShade="D9"/>
            <w:vAlign w:val="center"/>
            <w:hideMark/>
          </w:tcPr>
          <w:p w14:paraId="3CB8DEE8" w14:textId="77777777" w:rsidR="00B15A76" w:rsidRDefault="00162F2E" w:rsidP="00507CE5">
            <w:pPr>
              <w:autoSpaceDE/>
              <w:autoSpaceDN/>
              <w:adjustRightInd/>
              <w:spacing w:after="0"/>
              <w:jc w:val="center"/>
              <w:textAlignment w:val="baseline"/>
              <w:rPr>
                <w:rFonts w:eastAsia="Times New Roman" w:cs="Arial"/>
                <w:b/>
                <w:bCs/>
                <w:sz w:val="20"/>
                <w:szCs w:val="20"/>
                <w:lang w:eastAsia="en-GB"/>
              </w:rPr>
            </w:pPr>
            <w:r w:rsidRPr="00507CE5">
              <w:rPr>
                <w:rFonts w:eastAsia="Times New Roman" w:cs="Arial"/>
                <w:b/>
                <w:bCs/>
                <w:sz w:val="20"/>
                <w:szCs w:val="20"/>
                <w:lang w:eastAsia="en-GB"/>
              </w:rPr>
              <w:t xml:space="preserve">Net </w:t>
            </w:r>
            <w:r w:rsidR="00BE25B2" w:rsidRPr="0CFBF26B">
              <w:rPr>
                <w:rFonts w:eastAsia="Times New Roman" w:cs="Arial"/>
                <w:b/>
                <w:bCs/>
                <w:sz w:val="20"/>
                <w:szCs w:val="20"/>
                <w:lang w:eastAsia="en-GB"/>
              </w:rPr>
              <w:t>Outturn</w:t>
            </w:r>
            <w:r w:rsidRPr="00507CE5">
              <w:rPr>
                <w:rFonts w:eastAsia="Times New Roman" w:cs="Arial"/>
                <w:b/>
                <w:bCs/>
                <w:sz w:val="20"/>
                <w:szCs w:val="20"/>
                <w:lang w:eastAsia="en-GB"/>
              </w:rPr>
              <w:t xml:space="preserve"> </w:t>
            </w:r>
            <w:r w:rsidR="00457E4D">
              <w:rPr>
                <w:rFonts w:eastAsia="Times New Roman" w:cs="Arial"/>
                <w:b/>
                <w:bCs/>
                <w:sz w:val="20"/>
                <w:szCs w:val="20"/>
                <w:lang w:eastAsia="en-GB"/>
              </w:rPr>
              <w:t>Overspend</w:t>
            </w:r>
            <w:r>
              <w:rPr>
                <w:rFonts w:eastAsia="Times New Roman" w:cs="Arial"/>
                <w:b/>
                <w:bCs/>
                <w:sz w:val="20"/>
                <w:szCs w:val="20"/>
                <w:lang w:eastAsia="en-GB"/>
              </w:rPr>
              <w:t>/</w:t>
            </w:r>
          </w:p>
          <w:p w14:paraId="1B4C3E6E"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Pr>
                <w:rFonts w:eastAsia="Times New Roman" w:cs="Arial"/>
                <w:b/>
                <w:bCs/>
                <w:sz w:val="20"/>
                <w:szCs w:val="20"/>
                <w:lang w:eastAsia="en-GB"/>
              </w:rPr>
              <w:t>(Underspend</w:t>
            </w:r>
            <w:r w:rsidRPr="00507CE5">
              <w:rPr>
                <w:rFonts w:eastAsia="Times New Roman" w:cs="Arial"/>
                <w:sz w:val="20"/>
                <w:szCs w:val="20"/>
                <w:lang w:eastAsia="en-GB"/>
              </w:rPr>
              <w:t> </w:t>
            </w:r>
          </w:p>
        </w:tc>
        <w:tc>
          <w:tcPr>
            <w:tcW w:w="986" w:type="dxa"/>
            <w:tcBorders>
              <w:top w:val="single" w:sz="6" w:space="0" w:color="auto"/>
              <w:left w:val="nil"/>
              <w:bottom w:val="nil"/>
              <w:right w:val="single" w:sz="6" w:space="0" w:color="auto"/>
            </w:tcBorders>
            <w:shd w:val="clear" w:color="auto" w:fill="D9D9D9" w:themeFill="background1" w:themeFillShade="D9"/>
            <w:vAlign w:val="center"/>
            <w:hideMark/>
          </w:tcPr>
          <w:p w14:paraId="5703B4C3"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sz w:val="20"/>
                <w:szCs w:val="20"/>
                <w:lang w:eastAsia="en-GB"/>
              </w:rPr>
              <w:t>Net Outturn Variance</w:t>
            </w:r>
            <w:r w:rsidRPr="00507CE5">
              <w:rPr>
                <w:rFonts w:eastAsia="Times New Roman" w:cs="Arial"/>
                <w:sz w:val="20"/>
                <w:szCs w:val="20"/>
                <w:lang w:eastAsia="en-GB"/>
              </w:rPr>
              <w:t> </w:t>
            </w:r>
          </w:p>
        </w:tc>
        <w:tc>
          <w:tcPr>
            <w:tcW w:w="1108" w:type="dxa"/>
            <w:tcBorders>
              <w:top w:val="single" w:sz="6" w:space="0" w:color="auto"/>
              <w:left w:val="nil"/>
              <w:bottom w:val="nil"/>
              <w:right w:val="single" w:sz="6" w:space="0" w:color="auto"/>
            </w:tcBorders>
            <w:shd w:val="clear" w:color="auto" w:fill="D9D9D9" w:themeFill="background1" w:themeFillShade="D9"/>
            <w:vAlign w:val="center"/>
            <w:hideMark/>
          </w:tcPr>
          <w:p w14:paraId="443A7C86" w14:textId="77777777" w:rsidR="000B21D9" w:rsidRDefault="00162F2E" w:rsidP="00507CE5">
            <w:pPr>
              <w:autoSpaceDE/>
              <w:autoSpaceDN/>
              <w:adjustRightInd/>
              <w:spacing w:after="0"/>
              <w:jc w:val="center"/>
              <w:textAlignment w:val="baseline"/>
              <w:rPr>
                <w:rFonts w:eastAsia="Times New Roman" w:cs="Arial"/>
                <w:b/>
                <w:bCs/>
                <w:color w:val="auto"/>
                <w:sz w:val="20"/>
                <w:szCs w:val="20"/>
                <w:lang w:eastAsia="en-GB"/>
              </w:rPr>
            </w:pPr>
            <w:r w:rsidRPr="00507CE5">
              <w:rPr>
                <w:rFonts w:eastAsia="Times New Roman" w:cs="Arial"/>
                <w:b/>
                <w:bCs/>
                <w:color w:val="auto"/>
                <w:sz w:val="20"/>
                <w:szCs w:val="20"/>
                <w:lang w:eastAsia="en-GB"/>
              </w:rPr>
              <w:t xml:space="preserve">Q3 </w:t>
            </w:r>
            <w:r>
              <w:rPr>
                <w:rFonts w:eastAsia="Times New Roman" w:cs="Arial"/>
                <w:b/>
                <w:bCs/>
                <w:color w:val="auto"/>
                <w:sz w:val="20"/>
                <w:szCs w:val="20"/>
                <w:lang w:eastAsia="en-GB"/>
              </w:rPr>
              <w:t>Overspend/</w:t>
            </w:r>
          </w:p>
          <w:p w14:paraId="12C7F8CC"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Pr>
                <w:rFonts w:eastAsia="Times New Roman" w:cs="Arial"/>
                <w:b/>
                <w:bCs/>
                <w:color w:val="auto"/>
                <w:sz w:val="20"/>
                <w:szCs w:val="20"/>
                <w:lang w:eastAsia="en-GB"/>
              </w:rPr>
              <w:t>(Underspend)</w:t>
            </w:r>
            <w:r w:rsidRPr="00507CE5">
              <w:rPr>
                <w:rFonts w:eastAsia="Times New Roman" w:cs="Arial"/>
                <w:color w:val="auto"/>
                <w:sz w:val="20"/>
                <w:szCs w:val="20"/>
                <w:lang w:eastAsia="en-GB"/>
              </w:rPr>
              <w:t> </w:t>
            </w:r>
          </w:p>
        </w:tc>
        <w:tc>
          <w:tcPr>
            <w:tcW w:w="1185" w:type="dxa"/>
            <w:tcBorders>
              <w:top w:val="single" w:sz="6" w:space="0" w:color="auto"/>
              <w:left w:val="single" w:sz="6" w:space="0" w:color="auto"/>
              <w:bottom w:val="nil"/>
              <w:right w:val="single" w:sz="6" w:space="0" w:color="auto"/>
            </w:tcBorders>
            <w:shd w:val="clear" w:color="auto" w:fill="D9D9D9" w:themeFill="background1" w:themeFillShade="D9"/>
            <w:vAlign w:val="center"/>
            <w:hideMark/>
          </w:tcPr>
          <w:p w14:paraId="1CA074F7"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Movement</w:t>
            </w:r>
            <w:r w:rsidRPr="00507CE5">
              <w:rPr>
                <w:rFonts w:eastAsia="Times New Roman" w:cs="Arial"/>
                <w:color w:val="auto"/>
                <w:sz w:val="20"/>
                <w:szCs w:val="20"/>
                <w:lang w:eastAsia="en-GB"/>
              </w:rPr>
              <w:t> </w:t>
            </w:r>
            <w:r w:rsidRPr="00507CE5">
              <w:rPr>
                <w:rFonts w:eastAsia="Times New Roman" w:cs="Arial"/>
                <w:color w:val="auto"/>
                <w:sz w:val="20"/>
                <w:szCs w:val="20"/>
                <w:lang w:eastAsia="en-GB"/>
              </w:rPr>
              <w:br/>
            </w:r>
            <w:r w:rsidRPr="00507CE5">
              <w:rPr>
                <w:rFonts w:eastAsia="Times New Roman" w:cs="Arial"/>
                <w:b/>
                <w:bCs/>
                <w:color w:val="auto"/>
                <w:sz w:val="20"/>
                <w:szCs w:val="20"/>
                <w:lang w:eastAsia="en-GB"/>
              </w:rPr>
              <w:t>From Q3</w:t>
            </w:r>
            <w:r w:rsidRPr="00507CE5">
              <w:rPr>
                <w:rFonts w:eastAsia="Times New Roman" w:cs="Arial"/>
                <w:color w:val="auto"/>
                <w:sz w:val="20"/>
                <w:szCs w:val="20"/>
                <w:lang w:eastAsia="en-GB"/>
              </w:rPr>
              <w:t> </w:t>
            </w:r>
          </w:p>
        </w:tc>
      </w:tr>
      <w:tr w:rsidR="006E5B54" w14:paraId="2FD04B53" w14:textId="77777777" w:rsidTr="0CFBF26B">
        <w:trPr>
          <w:trHeight w:val="150"/>
        </w:trPr>
        <w:tc>
          <w:tcPr>
            <w:tcW w:w="197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B90D388"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color w:val="FF0000"/>
                <w:sz w:val="20"/>
                <w:szCs w:val="20"/>
                <w:lang w:eastAsia="en-GB"/>
              </w:rPr>
              <w:t> </w:t>
            </w:r>
            <w:r w:rsidRPr="00507CE5">
              <w:rPr>
                <w:rFonts w:eastAsia="Times New Roman" w:cs="Arial"/>
                <w:color w:val="FF0000"/>
                <w:sz w:val="20"/>
                <w:szCs w:val="20"/>
                <w:lang w:eastAsia="en-GB"/>
              </w:rPr>
              <w:t> </w:t>
            </w:r>
          </w:p>
        </w:tc>
        <w:tc>
          <w:tcPr>
            <w:tcW w:w="1068" w:type="dxa"/>
            <w:tcBorders>
              <w:top w:val="nil"/>
              <w:left w:val="nil"/>
              <w:bottom w:val="single" w:sz="6" w:space="0" w:color="auto"/>
              <w:right w:val="single" w:sz="6" w:space="0" w:color="auto"/>
            </w:tcBorders>
            <w:shd w:val="clear" w:color="auto" w:fill="D9D9D9" w:themeFill="background1" w:themeFillShade="D9"/>
            <w:vAlign w:val="center"/>
            <w:hideMark/>
          </w:tcPr>
          <w:p w14:paraId="5E0FFECB"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£m</w:t>
            </w:r>
            <w:r w:rsidRPr="00507CE5">
              <w:rPr>
                <w:rFonts w:eastAsia="Times New Roman" w:cs="Arial"/>
                <w:color w:val="auto"/>
                <w:sz w:val="20"/>
                <w:szCs w:val="20"/>
                <w:lang w:eastAsia="en-GB"/>
              </w:rPr>
              <w:t> </w:t>
            </w:r>
          </w:p>
        </w:tc>
        <w:tc>
          <w:tcPr>
            <w:tcW w:w="1201" w:type="dxa"/>
            <w:tcBorders>
              <w:top w:val="nil"/>
              <w:left w:val="nil"/>
              <w:bottom w:val="single" w:sz="6" w:space="0" w:color="auto"/>
              <w:right w:val="single" w:sz="6" w:space="0" w:color="auto"/>
            </w:tcBorders>
            <w:shd w:val="clear" w:color="auto" w:fill="D9D9D9" w:themeFill="background1" w:themeFillShade="D9"/>
            <w:vAlign w:val="center"/>
            <w:hideMark/>
          </w:tcPr>
          <w:p w14:paraId="26AE8B4A"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£m</w:t>
            </w:r>
            <w:r w:rsidRPr="00507CE5">
              <w:rPr>
                <w:rFonts w:eastAsia="Times New Roman" w:cs="Arial"/>
                <w:color w:val="auto"/>
                <w:sz w:val="20"/>
                <w:szCs w:val="20"/>
                <w:lang w:eastAsia="en-GB"/>
              </w:rPr>
              <w:t> </w:t>
            </w:r>
          </w:p>
        </w:tc>
        <w:tc>
          <w:tcPr>
            <w:tcW w:w="1304" w:type="dxa"/>
            <w:tcBorders>
              <w:top w:val="nil"/>
              <w:left w:val="nil"/>
              <w:bottom w:val="single" w:sz="6" w:space="0" w:color="auto"/>
              <w:right w:val="single" w:sz="6" w:space="0" w:color="auto"/>
            </w:tcBorders>
            <w:shd w:val="clear" w:color="auto" w:fill="D9D9D9" w:themeFill="background1" w:themeFillShade="D9"/>
            <w:vAlign w:val="center"/>
            <w:hideMark/>
          </w:tcPr>
          <w:p w14:paraId="11224BAF"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£m</w:t>
            </w:r>
            <w:r w:rsidRPr="00507CE5">
              <w:rPr>
                <w:rFonts w:eastAsia="Times New Roman" w:cs="Arial"/>
                <w:color w:val="auto"/>
                <w:sz w:val="20"/>
                <w:szCs w:val="20"/>
                <w:lang w:eastAsia="en-GB"/>
              </w:rPr>
              <w:t> </w:t>
            </w:r>
          </w:p>
        </w:tc>
        <w:tc>
          <w:tcPr>
            <w:tcW w:w="986" w:type="dxa"/>
            <w:tcBorders>
              <w:top w:val="nil"/>
              <w:left w:val="nil"/>
              <w:bottom w:val="single" w:sz="6" w:space="0" w:color="auto"/>
              <w:right w:val="single" w:sz="6" w:space="0" w:color="auto"/>
            </w:tcBorders>
            <w:shd w:val="clear" w:color="auto" w:fill="D9D9D9" w:themeFill="background1" w:themeFillShade="D9"/>
            <w:vAlign w:val="center"/>
            <w:hideMark/>
          </w:tcPr>
          <w:p w14:paraId="6BBE3C15"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w:t>
            </w:r>
            <w:r w:rsidRPr="00507CE5">
              <w:rPr>
                <w:rFonts w:eastAsia="Times New Roman" w:cs="Arial"/>
                <w:color w:val="auto"/>
                <w:sz w:val="20"/>
                <w:szCs w:val="20"/>
                <w:lang w:eastAsia="en-GB"/>
              </w:rPr>
              <w:t> </w:t>
            </w:r>
          </w:p>
        </w:tc>
        <w:tc>
          <w:tcPr>
            <w:tcW w:w="1108" w:type="dxa"/>
            <w:tcBorders>
              <w:top w:val="nil"/>
              <w:left w:val="nil"/>
              <w:bottom w:val="single" w:sz="6" w:space="0" w:color="auto"/>
              <w:right w:val="single" w:sz="6" w:space="0" w:color="auto"/>
            </w:tcBorders>
            <w:shd w:val="clear" w:color="auto" w:fill="D9D9D9" w:themeFill="background1" w:themeFillShade="D9"/>
            <w:vAlign w:val="center"/>
            <w:hideMark/>
          </w:tcPr>
          <w:p w14:paraId="7C13E4B7"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£m</w:t>
            </w:r>
            <w:r w:rsidRPr="00507CE5">
              <w:rPr>
                <w:rFonts w:eastAsia="Times New Roman" w:cs="Arial"/>
                <w:color w:val="auto"/>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23A40AF" w14:textId="77777777" w:rsidR="00507CE5" w:rsidRPr="00507CE5" w:rsidRDefault="00162F2E" w:rsidP="00507CE5">
            <w:pPr>
              <w:autoSpaceDE/>
              <w:autoSpaceDN/>
              <w:adjustRightInd/>
              <w:spacing w:after="0"/>
              <w:jc w:val="center"/>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£m</w:t>
            </w:r>
            <w:r w:rsidRPr="00507CE5">
              <w:rPr>
                <w:rFonts w:eastAsia="Times New Roman" w:cs="Arial"/>
                <w:color w:val="auto"/>
                <w:sz w:val="20"/>
                <w:szCs w:val="20"/>
                <w:lang w:eastAsia="en-GB"/>
              </w:rPr>
              <w:t> </w:t>
            </w:r>
          </w:p>
        </w:tc>
      </w:tr>
      <w:tr w:rsidR="006E5B54" w14:paraId="5519B7EC" w14:textId="77777777" w:rsidTr="0CFBF26B">
        <w:trPr>
          <w:trHeight w:val="150"/>
        </w:trPr>
        <w:tc>
          <w:tcPr>
            <w:tcW w:w="197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4E66925" w14:textId="77777777" w:rsidR="00507CE5" w:rsidRPr="00507CE5" w:rsidRDefault="00162F2E" w:rsidP="00507CE5">
            <w:pPr>
              <w:autoSpaceDE/>
              <w:autoSpaceDN/>
              <w:adjustRightInd/>
              <w:spacing w:after="0"/>
              <w:jc w:val="left"/>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Policy Info &amp; Commission Age Well</w:t>
            </w:r>
            <w:r w:rsidRPr="00507CE5">
              <w:rPr>
                <w:rFonts w:eastAsia="Times New Roman" w:cs="Arial"/>
                <w:color w:val="auto"/>
                <w:sz w:val="20"/>
                <w:szCs w:val="20"/>
                <w:lang w:eastAsia="en-GB"/>
              </w:rPr>
              <w:t> </w:t>
            </w:r>
          </w:p>
        </w:tc>
        <w:tc>
          <w:tcPr>
            <w:tcW w:w="10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5CA0E8"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0.756 </w:t>
            </w:r>
          </w:p>
        </w:tc>
        <w:tc>
          <w:tcPr>
            <w:tcW w:w="1201" w:type="dxa"/>
            <w:tcBorders>
              <w:top w:val="single" w:sz="6" w:space="0" w:color="auto"/>
              <w:left w:val="nil"/>
              <w:bottom w:val="single" w:sz="6" w:space="0" w:color="auto"/>
              <w:right w:val="single" w:sz="6" w:space="0" w:color="auto"/>
            </w:tcBorders>
            <w:shd w:val="clear" w:color="auto" w:fill="auto"/>
            <w:vAlign w:val="center"/>
            <w:hideMark/>
          </w:tcPr>
          <w:p w14:paraId="5A95D6C5"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0.724 </w:t>
            </w:r>
          </w:p>
        </w:tc>
        <w:tc>
          <w:tcPr>
            <w:tcW w:w="1304"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415D3263"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-0.032 </w:t>
            </w:r>
          </w:p>
        </w:tc>
        <w:tc>
          <w:tcPr>
            <w:tcW w:w="986" w:type="dxa"/>
            <w:tcBorders>
              <w:top w:val="single" w:sz="6" w:space="0" w:color="auto"/>
              <w:left w:val="nil"/>
              <w:bottom w:val="single" w:sz="6" w:space="0" w:color="auto"/>
              <w:right w:val="single" w:sz="6" w:space="0" w:color="auto"/>
            </w:tcBorders>
            <w:shd w:val="clear" w:color="auto" w:fill="auto"/>
            <w:vAlign w:val="center"/>
            <w:hideMark/>
          </w:tcPr>
          <w:p w14:paraId="2F62CC3E"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-4.23% </w:t>
            </w:r>
          </w:p>
        </w:tc>
        <w:tc>
          <w:tcPr>
            <w:tcW w:w="1108"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7C423CEA"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color w:val="auto"/>
                <w:sz w:val="20"/>
                <w:szCs w:val="20"/>
                <w:lang w:eastAsia="en-GB"/>
              </w:rPr>
              <w:t>-0.014 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7C769"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color w:val="auto"/>
                <w:sz w:val="20"/>
                <w:szCs w:val="20"/>
                <w:lang w:eastAsia="en-GB"/>
              </w:rPr>
              <w:t>-0.018 </w:t>
            </w:r>
          </w:p>
        </w:tc>
      </w:tr>
      <w:tr w:rsidR="006E5B54" w14:paraId="5DE5F9B2" w14:textId="77777777" w:rsidTr="0CFBF26B">
        <w:trPr>
          <w:trHeight w:val="150"/>
        </w:trPr>
        <w:tc>
          <w:tcPr>
            <w:tcW w:w="197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6B1BC17" w14:textId="77777777" w:rsidR="00507CE5" w:rsidRPr="00507CE5" w:rsidRDefault="00162F2E" w:rsidP="00507CE5">
            <w:pPr>
              <w:autoSpaceDE/>
              <w:autoSpaceDN/>
              <w:adjustRightInd/>
              <w:spacing w:after="0"/>
              <w:jc w:val="left"/>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Policy Info &amp; Commission Live Well</w:t>
            </w:r>
            <w:r w:rsidRPr="00507CE5">
              <w:rPr>
                <w:rFonts w:eastAsia="Times New Roman" w:cs="Arial"/>
                <w:color w:val="auto"/>
                <w:sz w:val="20"/>
                <w:szCs w:val="20"/>
                <w:lang w:eastAsia="en-GB"/>
              </w:rPr>
              <w:t> </w:t>
            </w:r>
          </w:p>
        </w:tc>
        <w:tc>
          <w:tcPr>
            <w:tcW w:w="1068" w:type="dxa"/>
            <w:tcBorders>
              <w:top w:val="nil"/>
              <w:left w:val="single" w:sz="6" w:space="0" w:color="auto"/>
              <w:bottom w:val="single" w:sz="6" w:space="0" w:color="auto"/>
              <w:right w:val="single" w:sz="6" w:space="0" w:color="auto"/>
            </w:tcBorders>
            <w:shd w:val="clear" w:color="auto" w:fill="auto"/>
            <w:vAlign w:val="center"/>
            <w:hideMark/>
          </w:tcPr>
          <w:p w14:paraId="7B8992A6"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0.937 </w:t>
            </w:r>
          </w:p>
        </w:tc>
        <w:tc>
          <w:tcPr>
            <w:tcW w:w="1201" w:type="dxa"/>
            <w:tcBorders>
              <w:top w:val="nil"/>
              <w:left w:val="nil"/>
              <w:bottom w:val="single" w:sz="6" w:space="0" w:color="auto"/>
              <w:right w:val="single" w:sz="6" w:space="0" w:color="auto"/>
            </w:tcBorders>
            <w:shd w:val="clear" w:color="auto" w:fill="auto"/>
            <w:vAlign w:val="center"/>
            <w:hideMark/>
          </w:tcPr>
          <w:p w14:paraId="67CBD167"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0.925 </w:t>
            </w:r>
          </w:p>
        </w:tc>
        <w:tc>
          <w:tcPr>
            <w:tcW w:w="1304" w:type="dxa"/>
            <w:tcBorders>
              <w:top w:val="nil"/>
              <w:left w:val="nil"/>
              <w:bottom w:val="single" w:sz="6" w:space="0" w:color="auto"/>
              <w:right w:val="single" w:sz="6" w:space="0" w:color="auto"/>
            </w:tcBorders>
            <w:shd w:val="clear" w:color="auto" w:fill="D9D9D9" w:themeFill="background1" w:themeFillShade="D9"/>
            <w:vAlign w:val="center"/>
            <w:hideMark/>
          </w:tcPr>
          <w:p w14:paraId="112D5A3A"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-0.012 </w:t>
            </w:r>
          </w:p>
        </w:tc>
        <w:tc>
          <w:tcPr>
            <w:tcW w:w="986" w:type="dxa"/>
            <w:tcBorders>
              <w:top w:val="nil"/>
              <w:left w:val="nil"/>
              <w:bottom w:val="single" w:sz="6" w:space="0" w:color="auto"/>
              <w:right w:val="single" w:sz="6" w:space="0" w:color="auto"/>
            </w:tcBorders>
            <w:shd w:val="clear" w:color="auto" w:fill="auto"/>
            <w:vAlign w:val="center"/>
            <w:hideMark/>
          </w:tcPr>
          <w:p w14:paraId="13EB1593"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-1.28% </w:t>
            </w:r>
          </w:p>
        </w:tc>
        <w:tc>
          <w:tcPr>
            <w:tcW w:w="1108" w:type="dxa"/>
            <w:tcBorders>
              <w:top w:val="nil"/>
              <w:left w:val="nil"/>
              <w:bottom w:val="single" w:sz="6" w:space="0" w:color="auto"/>
              <w:right w:val="single" w:sz="6" w:space="0" w:color="auto"/>
            </w:tcBorders>
            <w:shd w:val="clear" w:color="auto" w:fill="D9D9D9" w:themeFill="background1" w:themeFillShade="D9"/>
            <w:vAlign w:val="center"/>
            <w:hideMark/>
          </w:tcPr>
          <w:p w14:paraId="3CA76C37"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color w:val="auto"/>
                <w:sz w:val="20"/>
                <w:szCs w:val="20"/>
                <w:lang w:eastAsia="en-GB"/>
              </w:rPr>
              <w:t>-0.020 </w:t>
            </w:r>
          </w:p>
        </w:tc>
        <w:tc>
          <w:tcPr>
            <w:tcW w:w="1185" w:type="dxa"/>
            <w:tcBorders>
              <w:top w:val="nil"/>
              <w:left w:val="single" w:sz="6" w:space="0" w:color="auto"/>
              <w:bottom w:val="single" w:sz="6" w:space="0" w:color="auto"/>
              <w:right w:val="single" w:sz="6" w:space="0" w:color="auto"/>
            </w:tcBorders>
            <w:shd w:val="clear" w:color="auto" w:fill="auto"/>
            <w:vAlign w:val="center"/>
            <w:hideMark/>
          </w:tcPr>
          <w:p w14:paraId="7DEF3C37"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color w:val="auto"/>
                <w:sz w:val="20"/>
                <w:szCs w:val="20"/>
                <w:lang w:eastAsia="en-GB"/>
              </w:rPr>
              <w:t>0.008 </w:t>
            </w:r>
          </w:p>
        </w:tc>
      </w:tr>
      <w:tr w:rsidR="006E5B54" w14:paraId="19266F47" w14:textId="77777777" w:rsidTr="0CFBF26B">
        <w:trPr>
          <w:trHeight w:val="150"/>
        </w:trPr>
        <w:tc>
          <w:tcPr>
            <w:tcW w:w="197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AA91B45" w14:textId="77777777" w:rsidR="00507CE5" w:rsidRPr="00507CE5" w:rsidRDefault="00162F2E" w:rsidP="00507CE5">
            <w:pPr>
              <w:autoSpaceDE/>
              <w:autoSpaceDN/>
              <w:adjustRightInd/>
              <w:spacing w:after="0"/>
              <w:jc w:val="left"/>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Safeguarding &amp; Quality Improvement Services</w:t>
            </w:r>
            <w:r w:rsidRPr="00507CE5">
              <w:rPr>
                <w:rFonts w:eastAsia="Times New Roman" w:cs="Arial"/>
                <w:color w:val="auto"/>
                <w:sz w:val="20"/>
                <w:szCs w:val="20"/>
                <w:lang w:eastAsia="en-GB"/>
              </w:rPr>
              <w:t> </w:t>
            </w:r>
          </w:p>
        </w:tc>
        <w:tc>
          <w:tcPr>
            <w:tcW w:w="1068" w:type="dxa"/>
            <w:tcBorders>
              <w:top w:val="nil"/>
              <w:left w:val="single" w:sz="6" w:space="0" w:color="auto"/>
              <w:bottom w:val="single" w:sz="6" w:space="0" w:color="auto"/>
              <w:right w:val="single" w:sz="6" w:space="0" w:color="auto"/>
            </w:tcBorders>
            <w:shd w:val="clear" w:color="auto" w:fill="auto"/>
            <w:vAlign w:val="center"/>
            <w:hideMark/>
          </w:tcPr>
          <w:p w14:paraId="24881EB4"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6.131 </w:t>
            </w:r>
          </w:p>
        </w:tc>
        <w:tc>
          <w:tcPr>
            <w:tcW w:w="1201" w:type="dxa"/>
            <w:tcBorders>
              <w:top w:val="nil"/>
              <w:left w:val="nil"/>
              <w:bottom w:val="single" w:sz="6" w:space="0" w:color="auto"/>
              <w:right w:val="single" w:sz="6" w:space="0" w:color="auto"/>
            </w:tcBorders>
            <w:shd w:val="clear" w:color="auto" w:fill="auto"/>
            <w:vAlign w:val="center"/>
            <w:hideMark/>
          </w:tcPr>
          <w:p w14:paraId="150EA3CE"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6.293 </w:t>
            </w:r>
          </w:p>
        </w:tc>
        <w:tc>
          <w:tcPr>
            <w:tcW w:w="1304" w:type="dxa"/>
            <w:tcBorders>
              <w:top w:val="nil"/>
              <w:left w:val="nil"/>
              <w:bottom w:val="single" w:sz="6" w:space="0" w:color="auto"/>
              <w:right w:val="single" w:sz="6" w:space="0" w:color="auto"/>
            </w:tcBorders>
            <w:shd w:val="clear" w:color="auto" w:fill="D9D9D9" w:themeFill="background1" w:themeFillShade="D9"/>
            <w:vAlign w:val="center"/>
            <w:hideMark/>
          </w:tcPr>
          <w:p w14:paraId="6DAEC317"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0.162 </w:t>
            </w:r>
          </w:p>
        </w:tc>
        <w:tc>
          <w:tcPr>
            <w:tcW w:w="986" w:type="dxa"/>
            <w:tcBorders>
              <w:top w:val="nil"/>
              <w:left w:val="nil"/>
              <w:bottom w:val="single" w:sz="6" w:space="0" w:color="auto"/>
              <w:right w:val="single" w:sz="6" w:space="0" w:color="auto"/>
            </w:tcBorders>
            <w:shd w:val="clear" w:color="auto" w:fill="auto"/>
            <w:vAlign w:val="center"/>
            <w:hideMark/>
          </w:tcPr>
          <w:p w14:paraId="647F3E77"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sz w:val="20"/>
                <w:szCs w:val="20"/>
                <w:lang w:eastAsia="en-GB"/>
              </w:rPr>
              <w:t>2.64% </w:t>
            </w:r>
          </w:p>
        </w:tc>
        <w:tc>
          <w:tcPr>
            <w:tcW w:w="1108" w:type="dxa"/>
            <w:tcBorders>
              <w:top w:val="nil"/>
              <w:left w:val="nil"/>
              <w:bottom w:val="single" w:sz="6" w:space="0" w:color="auto"/>
              <w:right w:val="single" w:sz="6" w:space="0" w:color="auto"/>
            </w:tcBorders>
            <w:shd w:val="clear" w:color="auto" w:fill="D9D9D9" w:themeFill="background1" w:themeFillShade="D9"/>
            <w:vAlign w:val="center"/>
            <w:hideMark/>
          </w:tcPr>
          <w:p w14:paraId="008C57D7"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color w:val="auto"/>
                <w:sz w:val="20"/>
                <w:szCs w:val="20"/>
                <w:lang w:eastAsia="en-GB"/>
              </w:rPr>
              <w:t>0.062 </w:t>
            </w:r>
          </w:p>
        </w:tc>
        <w:tc>
          <w:tcPr>
            <w:tcW w:w="1185" w:type="dxa"/>
            <w:tcBorders>
              <w:top w:val="nil"/>
              <w:left w:val="single" w:sz="6" w:space="0" w:color="auto"/>
              <w:bottom w:val="single" w:sz="6" w:space="0" w:color="auto"/>
              <w:right w:val="single" w:sz="6" w:space="0" w:color="auto"/>
            </w:tcBorders>
            <w:shd w:val="clear" w:color="auto" w:fill="auto"/>
            <w:vAlign w:val="center"/>
            <w:hideMark/>
          </w:tcPr>
          <w:p w14:paraId="23128935"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color w:val="auto"/>
                <w:sz w:val="20"/>
                <w:szCs w:val="20"/>
                <w:lang w:eastAsia="en-GB"/>
              </w:rPr>
              <w:t>0.100 </w:t>
            </w:r>
          </w:p>
        </w:tc>
      </w:tr>
      <w:tr w:rsidR="006E5B54" w14:paraId="48C60C20" w14:textId="77777777" w:rsidTr="0CFBF26B">
        <w:trPr>
          <w:trHeight w:val="375"/>
        </w:trPr>
        <w:tc>
          <w:tcPr>
            <w:tcW w:w="197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7287BE89" w14:textId="77777777" w:rsidR="00507CE5" w:rsidRPr="00507CE5" w:rsidRDefault="00162F2E" w:rsidP="00507CE5">
            <w:pPr>
              <w:autoSpaceDE/>
              <w:autoSpaceDN/>
              <w:adjustRightInd/>
              <w:spacing w:after="0"/>
              <w:jc w:val="left"/>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Total Policy, Information, Commissioning and Safeguarding</w:t>
            </w:r>
            <w:r w:rsidRPr="00507CE5">
              <w:rPr>
                <w:rFonts w:eastAsia="Times New Roman" w:cs="Arial"/>
                <w:color w:val="auto"/>
                <w:sz w:val="20"/>
                <w:szCs w:val="20"/>
                <w:lang w:eastAsia="en-GB"/>
              </w:rPr>
              <w:t> </w:t>
            </w:r>
          </w:p>
        </w:tc>
        <w:tc>
          <w:tcPr>
            <w:tcW w:w="1068"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CA577C1"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b/>
                <w:bCs/>
                <w:sz w:val="20"/>
                <w:szCs w:val="20"/>
                <w:lang w:eastAsia="en-GB"/>
              </w:rPr>
              <w:t>7.824</w:t>
            </w:r>
            <w:r w:rsidRPr="00507CE5">
              <w:rPr>
                <w:rFonts w:eastAsia="Times New Roman" w:cs="Arial"/>
                <w:sz w:val="20"/>
                <w:szCs w:val="20"/>
                <w:lang w:eastAsia="en-GB"/>
              </w:rPr>
              <w:t> </w:t>
            </w:r>
          </w:p>
        </w:tc>
        <w:tc>
          <w:tcPr>
            <w:tcW w:w="1201" w:type="dxa"/>
            <w:tcBorders>
              <w:top w:val="nil"/>
              <w:left w:val="nil"/>
              <w:bottom w:val="single" w:sz="6" w:space="0" w:color="auto"/>
              <w:right w:val="single" w:sz="6" w:space="0" w:color="auto"/>
            </w:tcBorders>
            <w:shd w:val="clear" w:color="auto" w:fill="D9D9D9" w:themeFill="background1" w:themeFillShade="D9"/>
            <w:vAlign w:val="center"/>
            <w:hideMark/>
          </w:tcPr>
          <w:p w14:paraId="52F01196"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b/>
                <w:bCs/>
                <w:sz w:val="20"/>
                <w:szCs w:val="20"/>
                <w:lang w:eastAsia="en-GB"/>
              </w:rPr>
              <w:t>7.942</w:t>
            </w:r>
            <w:r w:rsidRPr="00507CE5">
              <w:rPr>
                <w:rFonts w:eastAsia="Times New Roman" w:cs="Arial"/>
                <w:sz w:val="20"/>
                <w:szCs w:val="20"/>
                <w:lang w:eastAsia="en-GB"/>
              </w:rPr>
              <w:t> </w:t>
            </w:r>
          </w:p>
        </w:tc>
        <w:tc>
          <w:tcPr>
            <w:tcW w:w="1304" w:type="dxa"/>
            <w:tcBorders>
              <w:top w:val="nil"/>
              <w:left w:val="nil"/>
              <w:bottom w:val="single" w:sz="6" w:space="0" w:color="auto"/>
              <w:right w:val="single" w:sz="6" w:space="0" w:color="auto"/>
            </w:tcBorders>
            <w:shd w:val="clear" w:color="auto" w:fill="D9D9D9" w:themeFill="background1" w:themeFillShade="D9"/>
            <w:vAlign w:val="center"/>
            <w:hideMark/>
          </w:tcPr>
          <w:p w14:paraId="5EDF859A"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b/>
                <w:bCs/>
                <w:sz w:val="20"/>
                <w:szCs w:val="20"/>
                <w:lang w:eastAsia="en-GB"/>
              </w:rPr>
              <w:t>0.118</w:t>
            </w:r>
            <w:r w:rsidRPr="00507CE5">
              <w:rPr>
                <w:rFonts w:eastAsia="Times New Roman" w:cs="Arial"/>
                <w:sz w:val="20"/>
                <w:szCs w:val="20"/>
                <w:lang w:eastAsia="en-GB"/>
              </w:rPr>
              <w:t> </w:t>
            </w:r>
          </w:p>
        </w:tc>
        <w:tc>
          <w:tcPr>
            <w:tcW w:w="986" w:type="dxa"/>
            <w:tcBorders>
              <w:top w:val="nil"/>
              <w:left w:val="nil"/>
              <w:bottom w:val="single" w:sz="6" w:space="0" w:color="auto"/>
              <w:right w:val="single" w:sz="6" w:space="0" w:color="auto"/>
            </w:tcBorders>
            <w:shd w:val="clear" w:color="auto" w:fill="D9D9D9" w:themeFill="background1" w:themeFillShade="D9"/>
            <w:vAlign w:val="center"/>
            <w:hideMark/>
          </w:tcPr>
          <w:p w14:paraId="4015442E"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b/>
                <w:bCs/>
                <w:sz w:val="20"/>
                <w:szCs w:val="20"/>
                <w:lang w:eastAsia="en-GB"/>
              </w:rPr>
              <w:t>1.51%</w:t>
            </w:r>
            <w:r w:rsidRPr="00507CE5">
              <w:rPr>
                <w:rFonts w:eastAsia="Times New Roman" w:cs="Arial"/>
                <w:sz w:val="20"/>
                <w:szCs w:val="20"/>
                <w:lang w:eastAsia="en-GB"/>
              </w:rPr>
              <w:t> </w:t>
            </w:r>
          </w:p>
        </w:tc>
        <w:tc>
          <w:tcPr>
            <w:tcW w:w="1108" w:type="dxa"/>
            <w:tcBorders>
              <w:top w:val="nil"/>
              <w:left w:val="nil"/>
              <w:bottom w:val="single" w:sz="6" w:space="0" w:color="auto"/>
              <w:right w:val="single" w:sz="6" w:space="0" w:color="auto"/>
            </w:tcBorders>
            <w:shd w:val="clear" w:color="auto" w:fill="D9D9D9" w:themeFill="background1" w:themeFillShade="D9"/>
            <w:vAlign w:val="center"/>
            <w:hideMark/>
          </w:tcPr>
          <w:p w14:paraId="0AE56D62"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0.028</w:t>
            </w:r>
            <w:r w:rsidRPr="00507CE5">
              <w:rPr>
                <w:rFonts w:eastAsia="Times New Roman" w:cs="Arial"/>
                <w:color w:val="auto"/>
                <w:sz w:val="20"/>
                <w:szCs w:val="20"/>
                <w:lang w:eastAsia="en-GB"/>
              </w:rPr>
              <w:t> </w:t>
            </w:r>
          </w:p>
        </w:tc>
        <w:tc>
          <w:tcPr>
            <w:tcW w:w="1185"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1EA205D2" w14:textId="77777777" w:rsidR="00507CE5" w:rsidRPr="00507CE5" w:rsidRDefault="00162F2E" w:rsidP="00507CE5">
            <w:pPr>
              <w:autoSpaceDE/>
              <w:autoSpaceDN/>
              <w:adjustRightInd/>
              <w:spacing w:after="0"/>
              <w:jc w:val="right"/>
              <w:textAlignment w:val="baseline"/>
              <w:rPr>
                <w:rFonts w:ascii="Times New Roman" w:eastAsia="Times New Roman" w:hAnsi="Times New Roman" w:cs="Times New Roman"/>
                <w:color w:val="auto"/>
                <w:lang w:eastAsia="en-GB"/>
              </w:rPr>
            </w:pPr>
            <w:r w:rsidRPr="00507CE5">
              <w:rPr>
                <w:rFonts w:eastAsia="Times New Roman" w:cs="Arial"/>
                <w:b/>
                <w:bCs/>
                <w:color w:val="auto"/>
                <w:sz w:val="20"/>
                <w:szCs w:val="20"/>
                <w:lang w:eastAsia="en-GB"/>
              </w:rPr>
              <w:t>0.090</w:t>
            </w:r>
            <w:r w:rsidRPr="00507CE5">
              <w:rPr>
                <w:rFonts w:eastAsia="Times New Roman" w:cs="Arial"/>
                <w:color w:val="auto"/>
                <w:sz w:val="20"/>
                <w:szCs w:val="20"/>
                <w:lang w:eastAsia="en-GB"/>
              </w:rPr>
              <w:t> </w:t>
            </w:r>
          </w:p>
        </w:tc>
      </w:tr>
    </w:tbl>
    <w:p w14:paraId="5D838259" w14:textId="7BB6D233" w:rsidR="00507CE5" w:rsidRPr="00507CE5" w:rsidRDefault="00162F2E" w:rsidP="00507CE5">
      <w:pPr>
        <w:autoSpaceDE/>
        <w:autoSpaceDN/>
        <w:adjustRightInd/>
        <w:spacing w:after="0"/>
        <w:jc w:val="left"/>
        <w:textAlignment w:val="baseline"/>
        <w:rPr>
          <w:rFonts w:ascii="Segoe UI" w:eastAsia="Times New Roman" w:hAnsi="Segoe UI" w:cs="Segoe UI"/>
          <w:color w:val="auto"/>
          <w:sz w:val="18"/>
          <w:szCs w:val="18"/>
          <w:lang w:eastAsia="en-GB"/>
        </w:rPr>
      </w:pPr>
      <w:r w:rsidRPr="00507CE5">
        <w:rPr>
          <w:rFonts w:eastAsia="Times New Roman" w:cs="Arial"/>
          <w:color w:val="FF0000"/>
          <w:lang w:eastAsia="en-GB"/>
        </w:rPr>
        <w:t> </w:t>
      </w:r>
    </w:p>
    <w:p w14:paraId="192C8526" w14:textId="77777777" w:rsidR="00D10794" w:rsidRPr="0030085B" w:rsidRDefault="00162F2E" w:rsidP="00521D75">
      <w:pPr>
        <w:autoSpaceDE/>
        <w:autoSpaceDN/>
        <w:adjustRightInd/>
        <w:spacing w:after="0"/>
        <w:textAlignment w:val="baseline"/>
        <w:rPr>
          <w:rFonts w:ascii="Segoe UI" w:eastAsia="Times New Roman" w:hAnsi="Segoe UI" w:cs="Segoe UI"/>
          <w:color w:val="auto"/>
          <w:sz w:val="18"/>
          <w:szCs w:val="18"/>
          <w:lang w:eastAsia="en-GB"/>
        </w:rPr>
      </w:pPr>
      <w:r w:rsidRPr="00507CE5">
        <w:rPr>
          <w:rFonts w:eastAsia="Times New Roman" w:cs="Arial"/>
          <w:color w:val="auto"/>
          <w:lang w:eastAsia="en-GB"/>
        </w:rPr>
        <w:t xml:space="preserve">The budget for Policy, Information, Commissioning and Safeguarding in 2021/22 is £7.824m. The forecast </w:t>
      </w:r>
      <w:r w:rsidR="00BE25B2" w:rsidRPr="0CFBF26B">
        <w:rPr>
          <w:rFonts w:eastAsia="Times New Roman" w:cs="Arial"/>
          <w:color w:val="auto"/>
          <w:lang w:eastAsia="en-GB"/>
        </w:rPr>
        <w:t>outturn</w:t>
      </w:r>
      <w:r w:rsidRPr="00507CE5">
        <w:rPr>
          <w:rFonts w:eastAsia="Times New Roman" w:cs="Arial"/>
          <w:color w:val="auto"/>
          <w:lang w:eastAsia="en-GB"/>
        </w:rPr>
        <w:t xml:space="preserve"> </w:t>
      </w:r>
      <w:r w:rsidR="002C224D">
        <w:rPr>
          <w:rFonts w:eastAsia="Times New Roman" w:cs="Arial"/>
          <w:color w:val="auto"/>
          <w:lang w:eastAsia="en-GB"/>
        </w:rPr>
        <w:t>variance</w:t>
      </w:r>
      <w:r w:rsidRPr="00507CE5">
        <w:rPr>
          <w:rFonts w:eastAsia="Times New Roman" w:cs="Arial"/>
          <w:color w:val="auto"/>
          <w:lang w:eastAsia="en-GB"/>
        </w:rPr>
        <w:t xml:space="preserve"> position is an overspend of £118,000</w:t>
      </w:r>
      <w:r w:rsidR="002D5897">
        <w:rPr>
          <w:rFonts w:eastAsia="Times New Roman" w:cs="Arial"/>
          <w:color w:val="auto"/>
          <w:lang w:eastAsia="en-GB"/>
        </w:rPr>
        <w:t xml:space="preserve"> which equates to </w:t>
      </w:r>
      <w:r w:rsidR="00CB1594">
        <w:rPr>
          <w:rFonts w:eastAsia="Times New Roman" w:cs="Arial"/>
          <w:color w:val="auto"/>
          <w:lang w:eastAsia="en-GB"/>
        </w:rPr>
        <w:t>1.51% of the total budget</w:t>
      </w:r>
      <w:r w:rsidRPr="00507CE5">
        <w:rPr>
          <w:rFonts w:eastAsia="Times New Roman" w:cs="Arial"/>
          <w:color w:val="auto"/>
          <w:lang w:eastAsia="en-GB"/>
        </w:rPr>
        <w:t>.  </w:t>
      </w:r>
    </w:p>
    <w:p w14:paraId="5BFCBD19" w14:textId="77777777" w:rsidR="00D10794" w:rsidRPr="00812801" w:rsidRDefault="00D10794" w:rsidP="00D10794">
      <w:pPr>
        <w:autoSpaceDE/>
        <w:autoSpaceDN/>
        <w:adjustRightInd/>
        <w:spacing w:after="0"/>
        <w:jc w:val="left"/>
        <w:rPr>
          <w:rFonts w:cs="Arial"/>
          <w:b/>
          <w:highlight w:val="yellow"/>
          <w:u w:val="single"/>
        </w:rPr>
      </w:pPr>
    </w:p>
    <w:p w14:paraId="09EF4E10" w14:textId="77777777" w:rsidR="00C8206E" w:rsidRDefault="00C8206E" w:rsidP="00D10794">
      <w:pPr>
        <w:autoSpaceDE/>
        <w:autoSpaceDN/>
        <w:adjustRightInd/>
        <w:spacing w:after="0"/>
        <w:jc w:val="left"/>
        <w:rPr>
          <w:rFonts w:cs="Arial"/>
          <w:b/>
          <w:highlight w:val="yellow"/>
          <w:u w:val="single"/>
        </w:rPr>
      </w:pPr>
    </w:p>
    <w:p w14:paraId="3C927775" w14:textId="2FAAD628" w:rsidR="00C8206E" w:rsidRDefault="00C8206E" w:rsidP="00D10794">
      <w:pPr>
        <w:autoSpaceDE/>
        <w:autoSpaceDN/>
        <w:adjustRightInd/>
        <w:spacing w:after="0"/>
        <w:jc w:val="left"/>
        <w:rPr>
          <w:rFonts w:cs="Arial"/>
          <w:b/>
          <w:highlight w:val="yellow"/>
          <w:u w:val="single"/>
        </w:rPr>
      </w:pPr>
    </w:p>
    <w:p w14:paraId="47E67819" w14:textId="77777777" w:rsidR="00642D26" w:rsidRDefault="00642D26" w:rsidP="00D10794">
      <w:pPr>
        <w:autoSpaceDE/>
        <w:autoSpaceDN/>
        <w:adjustRightInd/>
        <w:spacing w:after="0"/>
        <w:jc w:val="left"/>
        <w:rPr>
          <w:rFonts w:cs="Arial"/>
          <w:b/>
          <w:highlight w:val="yellow"/>
          <w:u w:val="single"/>
        </w:rPr>
      </w:pPr>
    </w:p>
    <w:p w14:paraId="59FD8D75" w14:textId="77777777" w:rsidR="00C8206E" w:rsidRPr="00812801" w:rsidRDefault="00C8206E" w:rsidP="00D10794">
      <w:pPr>
        <w:autoSpaceDE/>
        <w:autoSpaceDN/>
        <w:adjustRightInd/>
        <w:spacing w:after="0"/>
        <w:jc w:val="left"/>
        <w:rPr>
          <w:rFonts w:cs="Arial"/>
          <w:b/>
          <w:highlight w:val="yellow"/>
          <w:u w:val="single"/>
        </w:rPr>
      </w:pPr>
    </w:p>
    <w:p w14:paraId="6F28A60E" w14:textId="77777777" w:rsidR="00D10794" w:rsidRDefault="00162F2E" w:rsidP="00D10794">
      <w:pPr>
        <w:autoSpaceDE/>
        <w:autoSpaceDN/>
        <w:adjustRightInd/>
        <w:spacing w:after="0"/>
        <w:jc w:val="left"/>
        <w:rPr>
          <w:rFonts w:eastAsia="Times New Roman" w:cs="Arial"/>
          <w:b/>
          <w:lang w:eastAsia="en-GB"/>
        </w:rPr>
      </w:pPr>
      <w:r w:rsidRPr="00E07A8C">
        <w:rPr>
          <w:rFonts w:cs="Arial"/>
          <w:b/>
        </w:rPr>
        <w:lastRenderedPageBreak/>
        <w:t xml:space="preserve">3.4 </w:t>
      </w:r>
      <w:r w:rsidRPr="00E07A8C">
        <w:rPr>
          <w:rFonts w:cs="Arial"/>
          <w:b/>
        </w:rPr>
        <w:tab/>
        <w:t xml:space="preserve">Education and </w:t>
      </w:r>
      <w:r w:rsidRPr="00E07A8C">
        <w:rPr>
          <w:rFonts w:eastAsia="Times New Roman" w:cs="Arial"/>
          <w:b/>
          <w:lang w:eastAsia="en-GB"/>
        </w:rPr>
        <w:t xml:space="preserve">Children's Services </w:t>
      </w:r>
    </w:p>
    <w:p w14:paraId="05775E27" w14:textId="77777777" w:rsidR="00D409AA" w:rsidRDefault="00D409AA" w:rsidP="00D10794">
      <w:pPr>
        <w:autoSpaceDE/>
        <w:autoSpaceDN/>
        <w:adjustRightInd/>
        <w:spacing w:after="0"/>
        <w:jc w:val="left"/>
        <w:rPr>
          <w:rFonts w:eastAsia="Times New Roman" w:cs="Arial"/>
          <w:b/>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7"/>
        <w:gridCol w:w="1110"/>
        <w:gridCol w:w="1098"/>
        <w:gridCol w:w="1018"/>
        <w:gridCol w:w="1070"/>
        <w:gridCol w:w="1005"/>
      </w:tblGrid>
      <w:tr w:rsidR="006E5B54" w14:paraId="5A3AB3E2" w14:textId="77777777" w:rsidTr="00932279">
        <w:trPr>
          <w:trHeight w:val="656"/>
        </w:trPr>
        <w:tc>
          <w:tcPr>
            <w:tcW w:w="3480" w:type="dxa"/>
            <w:tcBorders>
              <w:top w:val="single" w:sz="6" w:space="0" w:color="auto"/>
              <w:left w:val="single" w:sz="6" w:space="0" w:color="auto"/>
              <w:bottom w:val="nil"/>
              <w:right w:val="single" w:sz="6" w:space="0" w:color="auto"/>
            </w:tcBorders>
            <w:shd w:val="clear" w:color="auto" w:fill="D9D9D9"/>
            <w:vAlign w:val="bottom"/>
            <w:hideMark/>
          </w:tcPr>
          <w:p w14:paraId="4F63A368" w14:textId="77777777" w:rsidR="00D409AA" w:rsidRPr="00D409AA" w:rsidRDefault="00162F2E" w:rsidP="0070128A">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Education and Children's Services</w:t>
            </w:r>
          </w:p>
        </w:tc>
        <w:tc>
          <w:tcPr>
            <w:tcW w:w="1140" w:type="dxa"/>
            <w:tcBorders>
              <w:top w:val="single" w:sz="6" w:space="0" w:color="auto"/>
              <w:left w:val="single" w:sz="6" w:space="0" w:color="auto"/>
              <w:bottom w:val="nil"/>
              <w:right w:val="single" w:sz="6" w:space="0" w:color="auto"/>
            </w:tcBorders>
            <w:shd w:val="clear" w:color="auto" w:fill="D9D9D9"/>
            <w:vAlign w:val="center"/>
            <w:hideMark/>
          </w:tcPr>
          <w:p w14:paraId="3C80B130" w14:textId="77777777" w:rsidR="00D409AA" w:rsidRPr="00D409AA" w:rsidRDefault="00162F2E" w:rsidP="001579B7">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Approved Net Budget</w:t>
            </w:r>
          </w:p>
        </w:tc>
        <w:tc>
          <w:tcPr>
            <w:tcW w:w="1155" w:type="dxa"/>
            <w:tcBorders>
              <w:top w:val="single" w:sz="6" w:space="0" w:color="auto"/>
              <w:left w:val="nil"/>
              <w:bottom w:val="nil"/>
              <w:right w:val="single" w:sz="6" w:space="0" w:color="auto"/>
            </w:tcBorders>
            <w:shd w:val="clear" w:color="auto" w:fill="D9D9D9"/>
            <w:vAlign w:val="center"/>
            <w:hideMark/>
          </w:tcPr>
          <w:p w14:paraId="301A4133" w14:textId="77777777" w:rsidR="00D409AA" w:rsidRPr="00D409AA" w:rsidRDefault="00162F2E" w:rsidP="0070128A">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Net Outturn</w:t>
            </w:r>
          </w:p>
        </w:tc>
        <w:tc>
          <w:tcPr>
            <w:tcW w:w="1050" w:type="dxa"/>
            <w:tcBorders>
              <w:top w:val="single" w:sz="6" w:space="0" w:color="auto"/>
              <w:left w:val="nil"/>
              <w:bottom w:val="nil"/>
              <w:right w:val="single" w:sz="6" w:space="0" w:color="auto"/>
            </w:tcBorders>
            <w:shd w:val="clear" w:color="auto" w:fill="D9D9D9"/>
            <w:vAlign w:val="center"/>
            <w:hideMark/>
          </w:tcPr>
          <w:p w14:paraId="7A44154B" w14:textId="77777777" w:rsidR="00D409AA" w:rsidRPr="00D409AA" w:rsidRDefault="00162F2E" w:rsidP="0070128A">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Net Variance</w:t>
            </w:r>
          </w:p>
        </w:tc>
        <w:tc>
          <w:tcPr>
            <w:tcW w:w="1110" w:type="dxa"/>
            <w:tcBorders>
              <w:top w:val="single" w:sz="6" w:space="0" w:color="auto"/>
              <w:left w:val="nil"/>
              <w:bottom w:val="nil"/>
              <w:right w:val="single" w:sz="6" w:space="0" w:color="auto"/>
            </w:tcBorders>
            <w:shd w:val="clear" w:color="auto" w:fill="D9D9D9"/>
            <w:vAlign w:val="center"/>
            <w:hideMark/>
          </w:tcPr>
          <w:p w14:paraId="20F1E14C" w14:textId="77777777" w:rsidR="00D409AA" w:rsidRPr="00D409AA" w:rsidRDefault="00162F2E" w:rsidP="0070128A">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Net Variance</w:t>
            </w:r>
          </w:p>
        </w:tc>
        <w:tc>
          <w:tcPr>
            <w:tcW w:w="1035" w:type="dxa"/>
            <w:tcBorders>
              <w:top w:val="single" w:sz="6" w:space="0" w:color="auto"/>
              <w:left w:val="nil"/>
              <w:bottom w:val="nil"/>
              <w:right w:val="single" w:sz="6" w:space="0" w:color="auto"/>
            </w:tcBorders>
            <w:shd w:val="clear" w:color="auto" w:fill="D9D9D9"/>
            <w:vAlign w:val="center"/>
            <w:hideMark/>
          </w:tcPr>
          <w:p w14:paraId="7A5CEE9B" w14:textId="77777777" w:rsidR="00D409AA" w:rsidRPr="00D409AA" w:rsidRDefault="00162F2E" w:rsidP="0070128A">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Q3 Variance</w:t>
            </w:r>
          </w:p>
        </w:tc>
      </w:tr>
      <w:tr w:rsidR="006E5B54" w14:paraId="4B7A7AD7" w14:textId="77777777" w:rsidTr="00932279">
        <w:trPr>
          <w:trHeight w:val="255"/>
        </w:trPr>
        <w:tc>
          <w:tcPr>
            <w:tcW w:w="3480" w:type="dxa"/>
            <w:tcBorders>
              <w:top w:val="nil"/>
              <w:left w:val="single" w:sz="6" w:space="0" w:color="auto"/>
              <w:bottom w:val="single" w:sz="6" w:space="0" w:color="auto"/>
              <w:right w:val="single" w:sz="6" w:space="0" w:color="auto"/>
            </w:tcBorders>
            <w:shd w:val="clear" w:color="auto" w:fill="D9D9D9"/>
            <w:vAlign w:val="center"/>
            <w:hideMark/>
          </w:tcPr>
          <w:p w14:paraId="1913BD72" w14:textId="77777777" w:rsidR="00D409AA" w:rsidRPr="00D409AA" w:rsidRDefault="00162F2E" w:rsidP="00D409AA">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D9D9D9"/>
            <w:vAlign w:val="center"/>
            <w:hideMark/>
          </w:tcPr>
          <w:p w14:paraId="255777D0" w14:textId="77777777" w:rsidR="00D409AA" w:rsidRPr="00D409AA" w:rsidRDefault="00162F2E" w:rsidP="001579B7">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£m</w:t>
            </w:r>
          </w:p>
        </w:tc>
        <w:tc>
          <w:tcPr>
            <w:tcW w:w="1155" w:type="dxa"/>
            <w:tcBorders>
              <w:top w:val="nil"/>
              <w:left w:val="nil"/>
              <w:bottom w:val="single" w:sz="6" w:space="0" w:color="auto"/>
              <w:right w:val="single" w:sz="6" w:space="0" w:color="auto"/>
            </w:tcBorders>
            <w:shd w:val="clear" w:color="auto" w:fill="D9D9D9"/>
            <w:vAlign w:val="center"/>
            <w:hideMark/>
          </w:tcPr>
          <w:p w14:paraId="279C1F49" w14:textId="77777777" w:rsidR="00D409AA" w:rsidRPr="00D409AA" w:rsidRDefault="00162F2E" w:rsidP="0070128A">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£m</w:t>
            </w:r>
          </w:p>
        </w:tc>
        <w:tc>
          <w:tcPr>
            <w:tcW w:w="1050" w:type="dxa"/>
            <w:tcBorders>
              <w:top w:val="nil"/>
              <w:left w:val="nil"/>
              <w:bottom w:val="single" w:sz="6" w:space="0" w:color="auto"/>
              <w:right w:val="single" w:sz="6" w:space="0" w:color="auto"/>
            </w:tcBorders>
            <w:shd w:val="clear" w:color="auto" w:fill="D9D9D9"/>
            <w:vAlign w:val="center"/>
            <w:hideMark/>
          </w:tcPr>
          <w:p w14:paraId="2B68FA41" w14:textId="77777777" w:rsidR="00D409AA" w:rsidRPr="00D409AA" w:rsidRDefault="00162F2E" w:rsidP="0070128A">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£m</w:t>
            </w:r>
          </w:p>
        </w:tc>
        <w:tc>
          <w:tcPr>
            <w:tcW w:w="1110" w:type="dxa"/>
            <w:tcBorders>
              <w:top w:val="nil"/>
              <w:left w:val="nil"/>
              <w:bottom w:val="single" w:sz="6" w:space="0" w:color="auto"/>
              <w:right w:val="single" w:sz="6" w:space="0" w:color="auto"/>
            </w:tcBorders>
            <w:shd w:val="clear" w:color="auto" w:fill="D9D9D9"/>
            <w:vAlign w:val="center"/>
            <w:hideMark/>
          </w:tcPr>
          <w:p w14:paraId="75555512" w14:textId="77777777" w:rsidR="00D409AA" w:rsidRPr="00D409AA" w:rsidRDefault="00162F2E" w:rsidP="0070128A">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w:t>
            </w:r>
          </w:p>
        </w:tc>
        <w:tc>
          <w:tcPr>
            <w:tcW w:w="1035" w:type="dxa"/>
            <w:tcBorders>
              <w:top w:val="nil"/>
              <w:left w:val="nil"/>
              <w:bottom w:val="single" w:sz="6" w:space="0" w:color="auto"/>
              <w:right w:val="single" w:sz="6" w:space="0" w:color="auto"/>
            </w:tcBorders>
            <w:shd w:val="clear" w:color="auto" w:fill="D9D9D9"/>
            <w:vAlign w:val="center"/>
            <w:hideMark/>
          </w:tcPr>
          <w:p w14:paraId="65AD7BFD" w14:textId="77777777" w:rsidR="00D409AA" w:rsidRPr="00D409AA" w:rsidRDefault="00162F2E" w:rsidP="0070128A">
            <w:pPr>
              <w:autoSpaceDE/>
              <w:autoSpaceDN/>
              <w:adjustRightInd/>
              <w:spacing w:after="0"/>
              <w:jc w:val="center"/>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£m</w:t>
            </w:r>
          </w:p>
        </w:tc>
      </w:tr>
      <w:tr w:rsidR="006E5B54" w14:paraId="0D4834E5" w14:textId="77777777" w:rsidTr="00D409AA">
        <w:trPr>
          <w:trHeight w:val="3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34C77375"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Family Safeguarding Project</w:t>
            </w:r>
            <w:r w:rsidRPr="00D409AA">
              <w:rPr>
                <w:rFonts w:eastAsia="Times New Roman" w:cs="Arial"/>
                <w:color w:val="auto"/>
                <w:sz w:val="20"/>
                <w:szCs w:val="20"/>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A511D0"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1.133 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94F3F"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1.133 </w:t>
            </w:r>
          </w:p>
        </w:tc>
        <w:tc>
          <w:tcPr>
            <w:tcW w:w="1050" w:type="dxa"/>
            <w:tcBorders>
              <w:top w:val="single" w:sz="6" w:space="0" w:color="auto"/>
              <w:left w:val="nil"/>
              <w:bottom w:val="single" w:sz="6" w:space="0" w:color="auto"/>
              <w:right w:val="single" w:sz="6" w:space="0" w:color="auto"/>
            </w:tcBorders>
            <w:shd w:val="clear" w:color="auto" w:fill="D9D9D9"/>
            <w:vAlign w:val="center"/>
            <w:hideMark/>
          </w:tcPr>
          <w:p w14:paraId="0752194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0.000 </w:t>
            </w:r>
          </w:p>
        </w:tc>
        <w:tc>
          <w:tcPr>
            <w:tcW w:w="1110" w:type="dxa"/>
            <w:tcBorders>
              <w:top w:val="single" w:sz="6" w:space="0" w:color="auto"/>
              <w:left w:val="nil"/>
              <w:bottom w:val="single" w:sz="6" w:space="0" w:color="auto"/>
              <w:right w:val="single" w:sz="6" w:space="0" w:color="auto"/>
            </w:tcBorders>
            <w:shd w:val="clear" w:color="auto" w:fill="auto"/>
            <w:vAlign w:val="center"/>
            <w:hideMark/>
          </w:tcPr>
          <w:p w14:paraId="73A16AB9"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0.00% </w:t>
            </w:r>
          </w:p>
        </w:tc>
        <w:tc>
          <w:tcPr>
            <w:tcW w:w="10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2882D8D"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-0.028 </w:t>
            </w:r>
          </w:p>
        </w:tc>
      </w:tr>
      <w:tr w:rsidR="006E5B54" w14:paraId="615702B5" w14:textId="77777777" w:rsidTr="0070128A">
        <w:trPr>
          <w:trHeight w:val="532"/>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2621F149"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Front Door, Assessment &amp; Adolescent Services</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7F324AEB"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11.465 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47710B90"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11.004 </w:t>
            </w:r>
          </w:p>
        </w:tc>
        <w:tc>
          <w:tcPr>
            <w:tcW w:w="1050" w:type="dxa"/>
            <w:tcBorders>
              <w:top w:val="nil"/>
              <w:left w:val="nil"/>
              <w:bottom w:val="single" w:sz="6" w:space="0" w:color="auto"/>
              <w:right w:val="single" w:sz="6" w:space="0" w:color="auto"/>
            </w:tcBorders>
            <w:shd w:val="clear" w:color="auto" w:fill="D9D9D9"/>
            <w:vAlign w:val="center"/>
            <w:hideMark/>
          </w:tcPr>
          <w:p w14:paraId="56D56642"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-0.461 </w:t>
            </w:r>
          </w:p>
        </w:tc>
        <w:tc>
          <w:tcPr>
            <w:tcW w:w="1110" w:type="dxa"/>
            <w:tcBorders>
              <w:top w:val="nil"/>
              <w:left w:val="nil"/>
              <w:bottom w:val="single" w:sz="6" w:space="0" w:color="auto"/>
              <w:right w:val="single" w:sz="6" w:space="0" w:color="auto"/>
            </w:tcBorders>
            <w:shd w:val="clear" w:color="auto" w:fill="auto"/>
            <w:vAlign w:val="center"/>
            <w:hideMark/>
          </w:tcPr>
          <w:p w14:paraId="53C0CEBD"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-4.02%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26C7FD8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-0.257 </w:t>
            </w:r>
          </w:p>
        </w:tc>
      </w:tr>
      <w:tr w:rsidR="006E5B54" w14:paraId="2A7D1845"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620FB697"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Family Safeguarding</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0FDC9AB9"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11.920 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1D2852D9"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12.594 </w:t>
            </w:r>
          </w:p>
        </w:tc>
        <w:tc>
          <w:tcPr>
            <w:tcW w:w="1050" w:type="dxa"/>
            <w:tcBorders>
              <w:top w:val="nil"/>
              <w:left w:val="nil"/>
              <w:bottom w:val="single" w:sz="6" w:space="0" w:color="auto"/>
              <w:right w:val="single" w:sz="6" w:space="0" w:color="auto"/>
            </w:tcBorders>
            <w:shd w:val="clear" w:color="auto" w:fill="D9D9D9"/>
            <w:vAlign w:val="center"/>
            <w:hideMark/>
          </w:tcPr>
          <w:p w14:paraId="2EFF05A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0.674 </w:t>
            </w:r>
          </w:p>
        </w:tc>
        <w:tc>
          <w:tcPr>
            <w:tcW w:w="1110" w:type="dxa"/>
            <w:tcBorders>
              <w:top w:val="nil"/>
              <w:left w:val="nil"/>
              <w:bottom w:val="single" w:sz="6" w:space="0" w:color="auto"/>
              <w:right w:val="single" w:sz="6" w:space="0" w:color="auto"/>
            </w:tcBorders>
            <w:shd w:val="clear" w:color="auto" w:fill="auto"/>
            <w:vAlign w:val="center"/>
            <w:hideMark/>
          </w:tcPr>
          <w:p w14:paraId="0889BC8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5.65%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27134CFC"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0.672 </w:t>
            </w:r>
          </w:p>
        </w:tc>
      </w:tr>
      <w:tr w:rsidR="006E5B54" w14:paraId="74F37FEB"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1C18D5CD"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Looked After Children/Leaving Care</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7FCEDEED"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93.503 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3E4B38E9"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89.875 </w:t>
            </w:r>
          </w:p>
        </w:tc>
        <w:tc>
          <w:tcPr>
            <w:tcW w:w="1050" w:type="dxa"/>
            <w:tcBorders>
              <w:top w:val="nil"/>
              <w:left w:val="nil"/>
              <w:bottom w:val="single" w:sz="6" w:space="0" w:color="auto"/>
              <w:right w:val="single" w:sz="6" w:space="0" w:color="auto"/>
            </w:tcBorders>
            <w:shd w:val="clear" w:color="auto" w:fill="D9D9D9"/>
            <w:vAlign w:val="center"/>
            <w:hideMark/>
          </w:tcPr>
          <w:p w14:paraId="66D32493"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-3.628 </w:t>
            </w:r>
          </w:p>
        </w:tc>
        <w:tc>
          <w:tcPr>
            <w:tcW w:w="1110" w:type="dxa"/>
            <w:tcBorders>
              <w:top w:val="nil"/>
              <w:left w:val="nil"/>
              <w:bottom w:val="single" w:sz="6" w:space="0" w:color="auto"/>
              <w:right w:val="single" w:sz="6" w:space="0" w:color="auto"/>
            </w:tcBorders>
            <w:shd w:val="clear" w:color="auto" w:fill="auto"/>
            <w:vAlign w:val="center"/>
            <w:hideMark/>
          </w:tcPr>
          <w:p w14:paraId="4D2F04C0"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-3.88%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1FD6226D"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-3.268 </w:t>
            </w:r>
          </w:p>
        </w:tc>
      </w:tr>
      <w:tr w:rsidR="006E5B54" w14:paraId="538C1DBF" w14:textId="77777777" w:rsidTr="00933031">
        <w:trPr>
          <w:trHeight w:val="678"/>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3C7F4FC9"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Fostering, Adoption Lancashire Blackpool &amp; Residential Services</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7B249DC5"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35.204 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46C580E8"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32.085 </w:t>
            </w:r>
          </w:p>
        </w:tc>
        <w:tc>
          <w:tcPr>
            <w:tcW w:w="1050" w:type="dxa"/>
            <w:tcBorders>
              <w:top w:val="nil"/>
              <w:left w:val="nil"/>
              <w:bottom w:val="single" w:sz="6" w:space="0" w:color="auto"/>
              <w:right w:val="single" w:sz="6" w:space="0" w:color="auto"/>
            </w:tcBorders>
            <w:shd w:val="clear" w:color="auto" w:fill="D9D9D9"/>
            <w:vAlign w:val="center"/>
            <w:hideMark/>
          </w:tcPr>
          <w:p w14:paraId="21EF2551"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-3.119 </w:t>
            </w:r>
          </w:p>
        </w:tc>
        <w:tc>
          <w:tcPr>
            <w:tcW w:w="1110" w:type="dxa"/>
            <w:tcBorders>
              <w:top w:val="nil"/>
              <w:left w:val="nil"/>
              <w:bottom w:val="single" w:sz="6" w:space="0" w:color="auto"/>
              <w:right w:val="single" w:sz="6" w:space="0" w:color="auto"/>
            </w:tcBorders>
            <w:shd w:val="clear" w:color="auto" w:fill="auto"/>
            <w:vAlign w:val="center"/>
            <w:hideMark/>
          </w:tcPr>
          <w:p w14:paraId="6E775084"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-8.86%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7258CBB7"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-2.611 </w:t>
            </w:r>
          </w:p>
        </w:tc>
      </w:tr>
      <w:tr w:rsidR="006E5B54" w14:paraId="461BE038"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BFBFBF"/>
            <w:hideMark/>
          </w:tcPr>
          <w:p w14:paraId="415E0260"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Total CSC</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BFBFBF"/>
            <w:vAlign w:val="center"/>
            <w:hideMark/>
          </w:tcPr>
          <w:p w14:paraId="4E8DFC7C"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153.225</w:t>
            </w:r>
            <w:r w:rsidRPr="00D409AA">
              <w:rPr>
                <w:rFonts w:eastAsia="Times New Roman" w:cs="Arial"/>
                <w:sz w:val="20"/>
                <w:szCs w:val="20"/>
                <w:lang w:eastAsia="en-GB"/>
              </w:rPr>
              <w:t> </w:t>
            </w:r>
          </w:p>
        </w:tc>
        <w:tc>
          <w:tcPr>
            <w:tcW w:w="1155" w:type="dxa"/>
            <w:tcBorders>
              <w:top w:val="nil"/>
              <w:left w:val="single" w:sz="6" w:space="0" w:color="auto"/>
              <w:bottom w:val="single" w:sz="6" w:space="0" w:color="auto"/>
              <w:right w:val="single" w:sz="6" w:space="0" w:color="auto"/>
            </w:tcBorders>
            <w:shd w:val="clear" w:color="auto" w:fill="BFBFBF"/>
            <w:vAlign w:val="center"/>
            <w:hideMark/>
          </w:tcPr>
          <w:p w14:paraId="381BF232"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146.691</w:t>
            </w:r>
            <w:r w:rsidRPr="00D409AA">
              <w:rPr>
                <w:rFonts w:eastAsia="Times New Roman" w:cs="Arial"/>
                <w:sz w:val="20"/>
                <w:szCs w:val="20"/>
                <w:lang w:eastAsia="en-GB"/>
              </w:rPr>
              <w:t> </w:t>
            </w:r>
          </w:p>
        </w:tc>
        <w:tc>
          <w:tcPr>
            <w:tcW w:w="1050" w:type="dxa"/>
            <w:tcBorders>
              <w:top w:val="nil"/>
              <w:left w:val="nil"/>
              <w:bottom w:val="single" w:sz="6" w:space="0" w:color="auto"/>
              <w:right w:val="single" w:sz="6" w:space="0" w:color="auto"/>
            </w:tcBorders>
            <w:shd w:val="clear" w:color="auto" w:fill="BFBFBF"/>
            <w:vAlign w:val="center"/>
            <w:hideMark/>
          </w:tcPr>
          <w:p w14:paraId="23273724"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-6.534</w:t>
            </w:r>
            <w:r w:rsidRPr="00D409AA">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BFBFBF"/>
            <w:vAlign w:val="center"/>
            <w:hideMark/>
          </w:tcPr>
          <w:p w14:paraId="327B24CA"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-4.26%</w:t>
            </w:r>
            <w:r w:rsidRPr="00D409AA">
              <w:rPr>
                <w:rFonts w:eastAsia="Times New Roman" w:cs="Arial"/>
                <w:sz w:val="20"/>
                <w:szCs w:val="20"/>
                <w:lang w:eastAsia="en-GB"/>
              </w:rPr>
              <w:t> </w:t>
            </w:r>
          </w:p>
        </w:tc>
        <w:tc>
          <w:tcPr>
            <w:tcW w:w="1035" w:type="dxa"/>
            <w:tcBorders>
              <w:top w:val="nil"/>
              <w:left w:val="single" w:sz="6" w:space="0" w:color="auto"/>
              <w:bottom w:val="single" w:sz="6" w:space="0" w:color="auto"/>
              <w:right w:val="single" w:sz="6" w:space="0" w:color="auto"/>
            </w:tcBorders>
            <w:shd w:val="clear" w:color="auto" w:fill="BFBFBF"/>
            <w:vAlign w:val="center"/>
            <w:hideMark/>
          </w:tcPr>
          <w:p w14:paraId="393F2283"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    -5.492</w:t>
            </w:r>
            <w:r w:rsidRPr="00D409AA">
              <w:rPr>
                <w:rFonts w:eastAsia="Times New Roman" w:cs="Arial"/>
                <w:color w:val="auto"/>
                <w:sz w:val="20"/>
                <w:szCs w:val="20"/>
                <w:lang w:eastAsia="en-GB"/>
              </w:rPr>
              <w:t> </w:t>
            </w:r>
          </w:p>
        </w:tc>
      </w:tr>
      <w:tr w:rsidR="006E5B54" w14:paraId="3EECA62C"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36759C03"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Children and Family Wellbeing Service</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58EEE67F"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17.737 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600D73F2"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17.562 </w:t>
            </w:r>
          </w:p>
        </w:tc>
        <w:tc>
          <w:tcPr>
            <w:tcW w:w="1050" w:type="dxa"/>
            <w:tcBorders>
              <w:top w:val="nil"/>
              <w:left w:val="nil"/>
              <w:bottom w:val="single" w:sz="6" w:space="0" w:color="auto"/>
              <w:right w:val="single" w:sz="6" w:space="0" w:color="auto"/>
            </w:tcBorders>
            <w:shd w:val="clear" w:color="auto" w:fill="D9D9D9"/>
            <w:vAlign w:val="center"/>
            <w:hideMark/>
          </w:tcPr>
          <w:p w14:paraId="7F25F4A2"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-0.175 </w:t>
            </w:r>
          </w:p>
        </w:tc>
        <w:tc>
          <w:tcPr>
            <w:tcW w:w="1110" w:type="dxa"/>
            <w:tcBorders>
              <w:top w:val="nil"/>
              <w:left w:val="nil"/>
              <w:bottom w:val="single" w:sz="6" w:space="0" w:color="auto"/>
              <w:right w:val="single" w:sz="6" w:space="0" w:color="auto"/>
            </w:tcBorders>
            <w:shd w:val="clear" w:color="auto" w:fill="auto"/>
            <w:vAlign w:val="center"/>
            <w:hideMark/>
          </w:tcPr>
          <w:p w14:paraId="6E26F65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-0.99%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67C65661"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-1.117 </w:t>
            </w:r>
          </w:p>
        </w:tc>
      </w:tr>
      <w:tr w:rsidR="006E5B54" w14:paraId="3AAA9B24"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17AFC525"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Education Improvement 0 - 11 Years And 11+ To 25 Combined</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4D2AEA24"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5.127 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02654EC8"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5.582 </w:t>
            </w:r>
          </w:p>
        </w:tc>
        <w:tc>
          <w:tcPr>
            <w:tcW w:w="1050" w:type="dxa"/>
            <w:tcBorders>
              <w:top w:val="nil"/>
              <w:left w:val="nil"/>
              <w:bottom w:val="single" w:sz="6" w:space="0" w:color="auto"/>
              <w:right w:val="single" w:sz="6" w:space="0" w:color="auto"/>
            </w:tcBorders>
            <w:shd w:val="clear" w:color="auto" w:fill="D9D9D9"/>
            <w:vAlign w:val="center"/>
            <w:hideMark/>
          </w:tcPr>
          <w:p w14:paraId="038C111F"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0.455 </w:t>
            </w:r>
          </w:p>
        </w:tc>
        <w:tc>
          <w:tcPr>
            <w:tcW w:w="1110" w:type="dxa"/>
            <w:tcBorders>
              <w:top w:val="nil"/>
              <w:left w:val="nil"/>
              <w:bottom w:val="single" w:sz="6" w:space="0" w:color="auto"/>
              <w:right w:val="single" w:sz="6" w:space="0" w:color="auto"/>
            </w:tcBorders>
            <w:shd w:val="clear" w:color="auto" w:fill="auto"/>
            <w:vAlign w:val="center"/>
            <w:hideMark/>
          </w:tcPr>
          <w:p w14:paraId="2F798A29"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8.87%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64B624B2"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1.127 </w:t>
            </w:r>
          </w:p>
        </w:tc>
      </w:tr>
      <w:tr w:rsidR="006E5B54" w14:paraId="399786C2"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3E0E8766"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Inclusion</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4E6D2D4B"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21.980 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4D6F7CE6"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22.205 </w:t>
            </w:r>
          </w:p>
        </w:tc>
        <w:tc>
          <w:tcPr>
            <w:tcW w:w="1050" w:type="dxa"/>
            <w:tcBorders>
              <w:top w:val="nil"/>
              <w:left w:val="nil"/>
              <w:bottom w:val="single" w:sz="6" w:space="0" w:color="auto"/>
              <w:right w:val="single" w:sz="6" w:space="0" w:color="auto"/>
            </w:tcBorders>
            <w:shd w:val="clear" w:color="auto" w:fill="D9D9D9"/>
            <w:vAlign w:val="center"/>
            <w:hideMark/>
          </w:tcPr>
          <w:p w14:paraId="4917578D"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0.225 </w:t>
            </w:r>
          </w:p>
        </w:tc>
        <w:tc>
          <w:tcPr>
            <w:tcW w:w="1110" w:type="dxa"/>
            <w:tcBorders>
              <w:top w:val="nil"/>
              <w:left w:val="nil"/>
              <w:bottom w:val="single" w:sz="6" w:space="0" w:color="auto"/>
              <w:right w:val="single" w:sz="6" w:space="0" w:color="auto"/>
            </w:tcBorders>
            <w:shd w:val="clear" w:color="auto" w:fill="auto"/>
            <w:vAlign w:val="center"/>
            <w:hideMark/>
          </w:tcPr>
          <w:p w14:paraId="1F868774"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1.02%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07072EB5"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-0.249 </w:t>
            </w:r>
          </w:p>
        </w:tc>
      </w:tr>
      <w:tr w:rsidR="006E5B54" w14:paraId="3A3259C9"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05199261"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Cultural Services </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411134C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10.651 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4C23AB10"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10.275 </w:t>
            </w:r>
          </w:p>
        </w:tc>
        <w:tc>
          <w:tcPr>
            <w:tcW w:w="1050" w:type="dxa"/>
            <w:tcBorders>
              <w:top w:val="nil"/>
              <w:left w:val="nil"/>
              <w:bottom w:val="single" w:sz="6" w:space="0" w:color="auto"/>
              <w:right w:val="single" w:sz="6" w:space="0" w:color="auto"/>
            </w:tcBorders>
            <w:shd w:val="clear" w:color="auto" w:fill="D9D9D9"/>
            <w:vAlign w:val="center"/>
            <w:hideMark/>
          </w:tcPr>
          <w:p w14:paraId="0F6651B1"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-0.376 </w:t>
            </w:r>
          </w:p>
        </w:tc>
        <w:tc>
          <w:tcPr>
            <w:tcW w:w="1110" w:type="dxa"/>
            <w:tcBorders>
              <w:top w:val="nil"/>
              <w:left w:val="nil"/>
              <w:bottom w:val="single" w:sz="6" w:space="0" w:color="auto"/>
              <w:right w:val="single" w:sz="6" w:space="0" w:color="auto"/>
            </w:tcBorders>
            <w:shd w:val="clear" w:color="auto" w:fill="auto"/>
            <w:vAlign w:val="center"/>
            <w:hideMark/>
          </w:tcPr>
          <w:p w14:paraId="6358B4B6"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-3.53%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5D1999E9"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-0.154 </w:t>
            </w:r>
          </w:p>
        </w:tc>
      </w:tr>
      <w:tr w:rsidR="006E5B54" w14:paraId="5E33E629"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BFBFBF"/>
            <w:hideMark/>
          </w:tcPr>
          <w:p w14:paraId="38AB3B34"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Total Education and Skills</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BFBFBF"/>
            <w:vAlign w:val="center"/>
            <w:hideMark/>
          </w:tcPr>
          <w:p w14:paraId="1C0B02CC"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55.495</w:t>
            </w:r>
            <w:r w:rsidRPr="00D409AA">
              <w:rPr>
                <w:rFonts w:eastAsia="Times New Roman" w:cs="Arial"/>
                <w:sz w:val="20"/>
                <w:szCs w:val="20"/>
                <w:lang w:eastAsia="en-GB"/>
              </w:rPr>
              <w:t> </w:t>
            </w:r>
          </w:p>
        </w:tc>
        <w:tc>
          <w:tcPr>
            <w:tcW w:w="1155" w:type="dxa"/>
            <w:tcBorders>
              <w:top w:val="nil"/>
              <w:left w:val="single" w:sz="6" w:space="0" w:color="auto"/>
              <w:bottom w:val="single" w:sz="6" w:space="0" w:color="auto"/>
              <w:right w:val="single" w:sz="6" w:space="0" w:color="auto"/>
            </w:tcBorders>
            <w:shd w:val="clear" w:color="auto" w:fill="BFBFBF"/>
            <w:vAlign w:val="center"/>
            <w:hideMark/>
          </w:tcPr>
          <w:p w14:paraId="6D771BD5"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55.624</w:t>
            </w:r>
            <w:r w:rsidRPr="00D409AA">
              <w:rPr>
                <w:rFonts w:eastAsia="Times New Roman" w:cs="Arial"/>
                <w:sz w:val="20"/>
                <w:szCs w:val="20"/>
                <w:lang w:eastAsia="en-GB"/>
              </w:rPr>
              <w:t> </w:t>
            </w:r>
          </w:p>
        </w:tc>
        <w:tc>
          <w:tcPr>
            <w:tcW w:w="1050" w:type="dxa"/>
            <w:tcBorders>
              <w:top w:val="nil"/>
              <w:left w:val="nil"/>
              <w:bottom w:val="single" w:sz="6" w:space="0" w:color="auto"/>
              <w:right w:val="single" w:sz="6" w:space="0" w:color="auto"/>
            </w:tcBorders>
            <w:shd w:val="clear" w:color="auto" w:fill="BFBFBF"/>
            <w:vAlign w:val="center"/>
            <w:hideMark/>
          </w:tcPr>
          <w:p w14:paraId="0D739E69"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0.129</w:t>
            </w:r>
            <w:r w:rsidRPr="00D409AA">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BFBFBF"/>
            <w:vAlign w:val="center"/>
            <w:hideMark/>
          </w:tcPr>
          <w:p w14:paraId="2790E881"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0.23%</w:t>
            </w:r>
            <w:r w:rsidRPr="00D409AA">
              <w:rPr>
                <w:rFonts w:eastAsia="Times New Roman" w:cs="Arial"/>
                <w:sz w:val="20"/>
                <w:szCs w:val="20"/>
                <w:lang w:eastAsia="en-GB"/>
              </w:rPr>
              <w:t> </w:t>
            </w:r>
          </w:p>
        </w:tc>
        <w:tc>
          <w:tcPr>
            <w:tcW w:w="1035" w:type="dxa"/>
            <w:tcBorders>
              <w:top w:val="nil"/>
              <w:left w:val="single" w:sz="6" w:space="0" w:color="auto"/>
              <w:bottom w:val="single" w:sz="6" w:space="0" w:color="auto"/>
              <w:right w:val="single" w:sz="6" w:space="0" w:color="auto"/>
            </w:tcBorders>
            <w:shd w:val="clear" w:color="auto" w:fill="BFBFBF"/>
            <w:vAlign w:val="center"/>
            <w:hideMark/>
          </w:tcPr>
          <w:p w14:paraId="7D3465D7"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-0.393</w:t>
            </w:r>
            <w:r w:rsidRPr="00D409AA">
              <w:rPr>
                <w:rFonts w:eastAsia="Times New Roman" w:cs="Arial"/>
                <w:color w:val="auto"/>
                <w:sz w:val="20"/>
                <w:szCs w:val="20"/>
                <w:lang w:eastAsia="en-GB"/>
              </w:rPr>
              <w:t> </w:t>
            </w:r>
          </w:p>
        </w:tc>
      </w:tr>
      <w:tr w:rsidR="006E5B54" w14:paraId="12341346"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081192E2"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Safeguarding, Inspection &amp; Audit</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253C8F5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14.828 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1F54C385"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13.686 </w:t>
            </w:r>
          </w:p>
        </w:tc>
        <w:tc>
          <w:tcPr>
            <w:tcW w:w="1050" w:type="dxa"/>
            <w:tcBorders>
              <w:top w:val="nil"/>
              <w:left w:val="nil"/>
              <w:bottom w:val="nil"/>
              <w:right w:val="single" w:sz="6" w:space="0" w:color="auto"/>
            </w:tcBorders>
            <w:shd w:val="clear" w:color="auto" w:fill="D9D9D9"/>
            <w:vAlign w:val="center"/>
            <w:hideMark/>
          </w:tcPr>
          <w:p w14:paraId="11DD8BE7"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-1.142 </w:t>
            </w:r>
          </w:p>
        </w:tc>
        <w:tc>
          <w:tcPr>
            <w:tcW w:w="1110" w:type="dxa"/>
            <w:tcBorders>
              <w:top w:val="nil"/>
              <w:left w:val="nil"/>
              <w:bottom w:val="single" w:sz="6" w:space="0" w:color="auto"/>
              <w:right w:val="single" w:sz="6" w:space="0" w:color="auto"/>
            </w:tcBorders>
            <w:shd w:val="clear" w:color="auto" w:fill="auto"/>
            <w:vAlign w:val="center"/>
            <w:hideMark/>
          </w:tcPr>
          <w:p w14:paraId="7B4CD470"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-7.70%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4D7EBD61"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-1.134 </w:t>
            </w:r>
          </w:p>
        </w:tc>
      </w:tr>
      <w:tr w:rsidR="006E5B54" w14:paraId="52710708"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72D42085"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Policy Info &amp; Commission Start Well</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4EF08214"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1.709 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7BBB2B87"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4.713 </w:t>
            </w:r>
          </w:p>
        </w:tc>
        <w:tc>
          <w:tcPr>
            <w:tcW w:w="1050" w:type="dxa"/>
            <w:tcBorders>
              <w:top w:val="single" w:sz="6" w:space="0" w:color="auto"/>
              <w:left w:val="nil"/>
              <w:bottom w:val="single" w:sz="6" w:space="0" w:color="auto"/>
              <w:right w:val="single" w:sz="6" w:space="0" w:color="auto"/>
            </w:tcBorders>
            <w:shd w:val="clear" w:color="auto" w:fill="D9D9D9"/>
            <w:vAlign w:val="center"/>
            <w:hideMark/>
          </w:tcPr>
          <w:p w14:paraId="5681DA52"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3.004 </w:t>
            </w:r>
          </w:p>
        </w:tc>
        <w:tc>
          <w:tcPr>
            <w:tcW w:w="1110" w:type="dxa"/>
            <w:tcBorders>
              <w:top w:val="nil"/>
              <w:left w:val="nil"/>
              <w:bottom w:val="single" w:sz="6" w:space="0" w:color="auto"/>
              <w:right w:val="single" w:sz="6" w:space="0" w:color="auto"/>
            </w:tcBorders>
            <w:shd w:val="clear" w:color="auto" w:fill="auto"/>
            <w:vAlign w:val="center"/>
            <w:hideMark/>
          </w:tcPr>
          <w:p w14:paraId="4EA1546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175.78%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1E30D53B"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0.018 </w:t>
            </w:r>
          </w:p>
        </w:tc>
      </w:tr>
      <w:tr w:rsidR="006E5B54" w14:paraId="66439529"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5527AC80"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Education &amp; Children's Services Central Costs</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auto"/>
            <w:vAlign w:val="center"/>
            <w:hideMark/>
          </w:tcPr>
          <w:p w14:paraId="6E11883C"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-5.911 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31A4488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-6.917 </w:t>
            </w:r>
          </w:p>
        </w:tc>
        <w:tc>
          <w:tcPr>
            <w:tcW w:w="1050" w:type="dxa"/>
            <w:tcBorders>
              <w:top w:val="nil"/>
              <w:left w:val="nil"/>
              <w:bottom w:val="single" w:sz="6" w:space="0" w:color="auto"/>
              <w:right w:val="single" w:sz="6" w:space="0" w:color="auto"/>
            </w:tcBorders>
            <w:shd w:val="clear" w:color="auto" w:fill="D9D9D9"/>
            <w:vAlign w:val="center"/>
            <w:hideMark/>
          </w:tcPr>
          <w:p w14:paraId="068032A7"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-1.006 </w:t>
            </w:r>
          </w:p>
        </w:tc>
        <w:tc>
          <w:tcPr>
            <w:tcW w:w="1110" w:type="dxa"/>
            <w:tcBorders>
              <w:top w:val="nil"/>
              <w:left w:val="nil"/>
              <w:bottom w:val="single" w:sz="6" w:space="0" w:color="auto"/>
              <w:right w:val="single" w:sz="6" w:space="0" w:color="auto"/>
            </w:tcBorders>
            <w:shd w:val="clear" w:color="auto" w:fill="auto"/>
            <w:vAlign w:val="center"/>
            <w:hideMark/>
          </w:tcPr>
          <w:p w14:paraId="7F23D395"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-17.02%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1C78EDB2"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-0.605 </w:t>
            </w:r>
          </w:p>
        </w:tc>
      </w:tr>
      <w:tr w:rsidR="006E5B54" w14:paraId="0EC1DA9A"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49BE3B62"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Total</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D9D9D9"/>
            <w:vAlign w:val="center"/>
            <w:hideMark/>
          </w:tcPr>
          <w:p w14:paraId="21F8F140"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219.346</w:t>
            </w:r>
            <w:r w:rsidRPr="00D409AA">
              <w:rPr>
                <w:rFonts w:eastAsia="Times New Roman" w:cs="Arial"/>
                <w:sz w:val="20"/>
                <w:szCs w:val="20"/>
                <w:lang w:eastAsia="en-GB"/>
              </w:rPr>
              <w:t> </w:t>
            </w:r>
          </w:p>
        </w:tc>
        <w:tc>
          <w:tcPr>
            <w:tcW w:w="1155" w:type="dxa"/>
            <w:tcBorders>
              <w:top w:val="nil"/>
              <w:left w:val="single" w:sz="6" w:space="0" w:color="auto"/>
              <w:bottom w:val="single" w:sz="6" w:space="0" w:color="auto"/>
              <w:right w:val="single" w:sz="6" w:space="0" w:color="auto"/>
            </w:tcBorders>
            <w:shd w:val="clear" w:color="auto" w:fill="D9D9D9"/>
            <w:vAlign w:val="center"/>
            <w:hideMark/>
          </w:tcPr>
          <w:p w14:paraId="664BE523"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213.797</w:t>
            </w:r>
            <w:r w:rsidRPr="00D409AA">
              <w:rPr>
                <w:rFonts w:eastAsia="Times New Roman" w:cs="Arial"/>
                <w:sz w:val="20"/>
                <w:szCs w:val="20"/>
                <w:lang w:eastAsia="en-GB"/>
              </w:rPr>
              <w:t> </w:t>
            </w:r>
          </w:p>
        </w:tc>
        <w:tc>
          <w:tcPr>
            <w:tcW w:w="1050" w:type="dxa"/>
            <w:tcBorders>
              <w:top w:val="nil"/>
              <w:left w:val="nil"/>
              <w:bottom w:val="single" w:sz="6" w:space="0" w:color="auto"/>
              <w:right w:val="single" w:sz="6" w:space="0" w:color="auto"/>
            </w:tcBorders>
            <w:shd w:val="clear" w:color="auto" w:fill="D9D9D9"/>
            <w:vAlign w:val="center"/>
            <w:hideMark/>
          </w:tcPr>
          <w:p w14:paraId="08A25519"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-5.549</w:t>
            </w:r>
            <w:r w:rsidRPr="00D409AA">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56A74A57"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-2.53%</w:t>
            </w:r>
            <w:r w:rsidRPr="00D409AA">
              <w:rPr>
                <w:rFonts w:eastAsia="Times New Roman" w:cs="Arial"/>
                <w:sz w:val="20"/>
                <w:szCs w:val="20"/>
                <w:lang w:eastAsia="en-GB"/>
              </w:rPr>
              <w:t>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6ADBD687"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-7.606</w:t>
            </w:r>
            <w:r w:rsidRPr="00D409AA">
              <w:rPr>
                <w:rFonts w:eastAsia="Times New Roman" w:cs="Arial"/>
                <w:color w:val="auto"/>
                <w:sz w:val="20"/>
                <w:szCs w:val="20"/>
                <w:lang w:eastAsia="en-GB"/>
              </w:rPr>
              <w:t> </w:t>
            </w:r>
          </w:p>
        </w:tc>
      </w:tr>
      <w:tr w:rsidR="006E5B54" w14:paraId="2C624B56"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DEC0C9A"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 xml:space="preserve">Share of unallocated </w:t>
            </w:r>
            <w:r w:rsidR="0026517A">
              <w:rPr>
                <w:rFonts w:eastAsia="Times New Roman" w:cs="Arial"/>
                <w:b/>
                <w:bCs/>
                <w:color w:val="auto"/>
                <w:sz w:val="20"/>
                <w:szCs w:val="20"/>
                <w:lang w:eastAsia="en-GB"/>
              </w:rPr>
              <w:t>C</w:t>
            </w:r>
            <w:r w:rsidR="00626DB7">
              <w:rPr>
                <w:rFonts w:eastAsia="Times New Roman" w:cs="Arial"/>
                <w:b/>
                <w:bCs/>
                <w:color w:val="auto"/>
                <w:sz w:val="20"/>
                <w:szCs w:val="20"/>
                <w:lang w:eastAsia="en-GB"/>
              </w:rPr>
              <w:t>ovid</w:t>
            </w:r>
            <w:r w:rsidRPr="00D409AA">
              <w:rPr>
                <w:rFonts w:eastAsia="Times New Roman" w:cs="Arial"/>
                <w:b/>
                <w:bCs/>
                <w:color w:val="auto"/>
                <w:sz w:val="20"/>
                <w:szCs w:val="20"/>
                <w:lang w:eastAsia="en-GB"/>
              </w:rPr>
              <w:t>-19 emergency monies</w:t>
            </w:r>
            <w:r w:rsidRPr="00D409AA">
              <w:rPr>
                <w:rFonts w:eastAsia="Times New Roman" w:cs="Arial"/>
                <w:color w:val="auto"/>
                <w:sz w:val="20"/>
                <w:szCs w:val="20"/>
                <w:lang w:eastAsia="en-GB"/>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C54CD"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-1.165 </w:t>
            </w:r>
          </w:p>
        </w:tc>
        <w:tc>
          <w:tcPr>
            <w:tcW w:w="1155" w:type="dxa"/>
            <w:tcBorders>
              <w:top w:val="nil"/>
              <w:left w:val="single" w:sz="6" w:space="0" w:color="auto"/>
              <w:bottom w:val="single" w:sz="6" w:space="0" w:color="auto"/>
              <w:right w:val="single" w:sz="6" w:space="0" w:color="auto"/>
            </w:tcBorders>
            <w:shd w:val="clear" w:color="auto" w:fill="auto"/>
            <w:vAlign w:val="center"/>
            <w:hideMark/>
          </w:tcPr>
          <w:p w14:paraId="253E02AF"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0.000 </w:t>
            </w:r>
          </w:p>
        </w:tc>
        <w:tc>
          <w:tcPr>
            <w:tcW w:w="1050" w:type="dxa"/>
            <w:tcBorders>
              <w:top w:val="nil"/>
              <w:left w:val="nil"/>
              <w:bottom w:val="single" w:sz="6" w:space="0" w:color="auto"/>
              <w:right w:val="single" w:sz="6" w:space="0" w:color="auto"/>
            </w:tcBorders>
            <w:shd w:val="clear" w:color="auto" w:fill="D9D9D9"/>
            <w:vAlign w:val="center"/>
            <w:hideMark/>
          </w:tcPr>
          <w:p w14:paraId="56F9AE9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1.165 </w:t>
            </w:r>
          </w:p>
        </w:tc>
        <w:tc>
          <w:tcPr>
            <w:tcW w:w="1110" w:type="dxa"/>
            <w:tcBorders>
              <w:top w:val="nil"/>
              <w:left w:val="nil"/>
              <w:bottom w:val="single" w:sz="6" w:space="0" w:color="auto"/>
              <w:right w:val="single" w:sz="6" w:space="0" w:color="auto"/>
            </w:tcBorders>
            <w:shd w:val="clear" w:color="auto" w:fill="auto"/>
            <w:vAlign w:val="center"/>
            <w:hideMark/>
          </w:tcPr>
          <w:p w14:paraId="43ACC255"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sz w:val="20"/>
                <w:szCs w:val="20"/>
                <w:lang w:eastAsia="en-GB"/>
              </w:rPr>
              <w:t>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55A81609"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color w:val="auto"/>
                <w:sz w:val="20"/>
                <w:szCs w:val="20"/>
                <w:lang w:eastAsia="en-GB"/>
              </w:rPr>
              <w:t>1.165 </w:t>
            </w:r>
          </w:p>
        </w:tc>
      </w:tr>
      <w:tr w:rsidR="006E5B54" w14:paraId="749443C9" w14:textId="77777777" w:rsidTr="00D409AA">
        <w:trPr>
          <w:trHeight w:val="15"/>
        </w:trPr>
        <w:tc>
          <w:tcPr>
            <w:tcW w:w="3480" w:type="dxa"/>
            <w:tcBorders>
              <w:top w:val="single" w:sz="6" w:space="0" w:color="auto"/>
              <w:left w:val="single" w:sz="6" w:space="0" w:color="auto"/>
              <w:bottom w:val="single" w:sz="6" w:space="0" w:color="auto"/>
              <w:right w:val="single" w:sz="6" w:space="0" w:color="auto"/>
            </w:tcBorders>
            <w:shd w:val="clear" w:color="auto" w:fill="D9D9D9"/>
            <w:hideMark/>
          </w:tcPr>
          <w:p w14:paraId="51F0E394" w14:textId="77777777" w:rsidR="00D409AA" w:rsidRPr="00D409AA" w:rsidRDefault="00162F2E" w:rsidP="00D409AA">
            <w:pPr>
              <w:autoSpaceDE/>
              <w:autoSpaceDN/>
              <w:adjustRightInd/>
              <w:spacing w:after="0"/>
              <w:jc w:val="lef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Total Education and Children's Services</w:t>
            </w:r>
            <w:r w:rsidRPr="00D409AA">
              <w:rPr>
                <w:rFonts w:eastAsia="Times New Roman" w:cs="Arial"/>
                <w:color w:val="auto"/>
                <w:sz w:val="20"/>
                <w:szCs w:val="20"/>
                <w:lang w:eastAsia="en-GB"/>
              </w:rPr>
              <w:t> </w:t>
            </w:r>
          </w:p>
        </w:tc>
        <w:tc>
          <w:tcPr>
            <w:tcW w:w="1140" w:type="dxa"/>
            <w:tcBorders>
              <w:top w:val="nil"/>
              <w:left w:val="single" w:sz="6" w:space="0" w:color="auto"/>
              <w:bottom w:val="single" w:sz="6" w:space="0" w:color="auto"/>
              <w:right w:val="single" w:sz="6" w:space="0" w:color="auto"/>
            </w:tcBorders>
            <w:shd w:val="clear" w:color="auto" w:fill="D9D9D9"/>
            <w:vAlign w:val="center"/>
            <w:hideMark/>
          </w:tcPr>
          <w:p w14:paraId="21578D98"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218.181</w:t>
            </w:r>
            <w:r w:rsidRPr="00D409AA">
              <w:rPr>
                <w:rFonts w:eastAsia="Times New Roman" w:cs="Arial"/>
                <w:sz w:val="20"/>
                <w:szCs w:val="20"/>
                <w:lang w:eastAsia="en-GB"/>
              </w:rPr>
              <w:t> </w:t>
            </w:r>
          </w:p>
        </w:tc>
        <w:tc>
          <w:tcPr>
            <w:tcW w:w="1155" w:type="dxa"/>
            <w:tcBorders>
              <w:top w:val="nil"/>
              <w:left w:val="single" w:sz="6" w:space="0" w:color="auto"/>
              <w:bottom w:val="single" w:sz="6" w:space="0" w:color="auto"/>
              <w:right w:val="single" w:sz="6" w:space="0" w:color="auto"/>
            </w:tcBorders>
            <w:shd w:val="clear" w:color="auto" w:fill="D9D9D9"/>
            <w:vAlign w:val="center"/>
            <w:hideMark/>
          </w:tcPr>
          <w:p w14:paraId="36DFB81E"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213.797</w:t>
            </w:r>
            <w:r w:rsidRPr="00D409AA">
              <w:rPr>
                <w:rFonts w:eastAsia="Times New Roman" w:cs="Arial"/>
                <w:sz w:val="20"/>
                <w:szCs w:val="20"/>
                <w:lang w:eastAsia="en-GB"/>
              </w:rPr>
              <w:t> </w:t>
            </w:r>
          </w:p>
        </w:tc>
        <w:tc>
          <w:tcPr>
            <w:tcW w:w="1050" w:type="dxa"/>
            <w:tcBorders>
              <w:top w:val="nil"/>
              <w:left w:val="nil"/>
              <w:bottom w:val="single" w:sz="6" w:space="0" w:color="auto"/>
              <w:right w:val="single" w:sz="6" w:space="0" w:color="auto"/>
            </w:tcBorders>
            <w:shd w:val="clear" w:color="auto" w:fill="D9D9D9"/>
            <w:vAlign w:val="center"/>
            <w:hideMark/>
          </w:tcPr>
          <w:p w14:paraId="3FA71DB5"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-4.384</w:t>
            </w:r>
            <w:r w:rsidRPr="00D409AA">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092B752F"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sz w:val="20"/>
                <w:szCs w:val="20"/>
                <w:lang w:eastAsia="en-GB"/>
              </w:rPr>
              <w:t>-2.01%</w:t>
            </w:r>
            <w:r w:rsidRPr="00D409AA">
              <w:rPr>
                <w:rFonts w:eastAsia="Times New Roman" w:cs="Arial"/>
                <w:sz w:val="20"/>
                <w:szCs w:val="20"/>
                <w:lang w:eastAsia="en-GB"/>
              </w:rPr>
              <w:t> </w:t>
            </w:r>
          </w:p>
        </w:tc>
        <w:tc>
          <w:tcPr>
            <w:tcW w:w="1035" w:type="dxa"/>
            <w:tcBorders>
              <w:top w:val="nil"/>
              <w:left w:val="single" w:sz="6" w:space="0" w:color="auto"/>
              <w:bottom w:val="single" w:sz="6" w:space="0" w:color="auto"/>
              <w:right w:val="single" w:sz="6" w:space="0" w:color="auto"/>
            </w:tcBorders>
            <w:shd w:val="clear" w:color="auto" w:fill="D9D9D9"/>
            <w:vAlign w:val="center"/>
            <w:hideMark/>
          </w:tcPr>
          <w:p w14:paraId="633B4A0A" w14:textId="77777777" w:rsidR="00D409AA" w:rsidRPr="00D409AA" w:rsidRDefault="00162F2E" w:rsidP="00D409AA">
            <w:pPr>
              <w:autoSpaceDE/>
              <w:autoSpaceDN/>
              <w:adjustRightInd/>
              <w:spacing w:after="0"/>
              <w:jc w:val="right"/>
              <w:textAlignment w:val="baseline"/>
              <w:rPr>
                <w:rFonts w:ascii="Times New Roman" w:eastAsia="Times New Roman" w:hAnsi="Times New Roman" w:cs="Times New Roman"/>
                <w:color w:val="auto"/>
                <w:lang w:eastAsia="en-GB"/>
              </w:rPr>
            </w:pPr>
            <w:r w:rsidRPr="00D409AA">
              <w:rPr>
                <w:rFonts w:eastAsia="Times New Roman" w:cs="Arial"/>
                <w:b/>
                <w:bCs/>
                <w:color w:val="auto"/>
                <w:sz w:val="20"/>
                <w:szCs w:val="20"/>
                <w:lang w:eastAsia="en-GB"/>
              </w:rPr>
              <w:t>-6.441</w:t>
            </w:r>
            <w:r w:rsidRPr="00D409AA">
              <w:rPr>
                <w:rFonts w:eastAsia="Times New Roman" w:cs="Arial"/>
                <w:color w:val="auto"/>
                <w:sz w:val="20"/>
                <w:szCs w:val="20"/>
                <w:lang w:eastAsia="en-GB"/>
              </w:rPr>
              <w:t> </w:t>
            </w:r>
          </w:p>
        </w:tc>
      </w:tr>
    </w:tbl>
    <w:p w14:paraId="76F97445" w14:textId="77777777" w:rsidR="00D409AA" w:rsidRPr="00D409AA" w:rsidRDefault="00162F2E" w:rsidP="00D409AA">
      <w:pPr>
        <w:autoSpaceDE/>
        <w:autoSpaceDN/>
        <w:adjustRightInd/>
        <w:spacing w:after="0"/>
        <w:textAlignment w:val="baseline"/>
        <w:rPr>
          <w:rFonts w:ascii="Segoe UI" w:eastAsia="Times New Roman" w:hAnsi="Segoe UI" w:cs="Segoe UI"/>
          <w:color w:val="auto"/>
          <w:sz w:val="18"/>
          <w:szCs w:val="18"/>
          <w:lang w:eastAsia="en-GB"/>
        </w:rPr>
      </w:pPr>
      <w:r w:rsidRPr="00D409AA">
        <w:rPr>
          <w:rFonts w:eastAsia="Times New Roman" w:cs="Arial"/>
          <w:color w:val="auto"/>
          <w:lang w:eastAsia="en-GB"/>
        </w:rPr>
        <w:t> </w:t>
      </w:r>
    </w:p>
    <w:p w14:paraId="5AEE7DD1" w14:textId="77777777" w:rsidR="00D409AA" w:rsidRPr="00D409AA"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D409AA">
        <w:rPr>
          <w:rFonts w:eastAsia="Times New Roman" w:cs="Arial"/>
          <w:color w:val="auto"/>
          <w:lang w:eastAsia="en-GB"/>
        </w:rPr>
        <w:t xml:space="preserve">Education &amp; Children's Services </w:t>
      </w:r>
      <w:r w:rsidR="006B6A57">
        <w:rPr>
          <w:rFonts w:eastAsia="Times New Roman" w:cs="Arial"/>
          <w:color w:val="auto"/>
          <w:lang w:eastAsia="en-GB"/>
        </w:rPr>
        <w:t xml:space="preserve">(ECS) </w:t>
      </w:r>
      <w:r w:rsidRPr="00D409AA">
        <w:rPr>
          <w:rFonts w:eastAsia="Times New Roman" w:cs="Arial"/>
          <w:color w:val="auto"/>
          <w:lang w:eastAsia="en-GB"/>
        </w:rPr>
        <w:t>underspent by £4.384m in 2021/22 against a net budget of £218.181m.  This is a decrease in underspend of £2.057m from the forecast outturn reported to Cabinet at Quarter 3.  </w:t>
      </w:r>
    </w:p>
    <w:p w14:paraId="0A5D936B" w14:textId="77777777" w:rsidR="00D409AA" w:rsidRPr="00D409AA"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D409AA">
        <w:rPr>
          <w:rFonts w:eastAsia="Times New Roman" w:cs="Arial"/>
          <w:color w:val="FF0000"/>
          <w:lang w:eastAsia="en-GB"/>
        </w:rPr>
        <w:t> </w:t>
      </w:r>
    </w:p>
    <w:p w14:paraId="42ED3734" w14:textId="77777777" w:rsidR="00D409AA" w:rsidRPr="00D409AA"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D409AA">
        <w:rPr>
          <w:rFonts w:eastAsia="Times New Roman" w:cs="Arial"/>
          <w:color w:val="auto"/>
          <w:lang w:eastAsia="en-GB"/>
        </w:rPr>
        <w:t xml:space="preserve">The largest impact on the position for ECS in 2021/22 is a reduction in the number of children entering care which has resulted in an underspend of c£6.050m.  However, in year income pressures (net of any reduction in costs incurred earning income) remain which are largely due to the pandemic as discussed later in this report, albeit that </w:t>
      </w:r>
      <w:r w:rsidR="00626DB7" w:rsidRPr="00D409AA">
        <w:rPr>
          <w:rFonts w:eastAsia="Times New Roman" w:cs="Arial"/>
          <w:color w:val="auto"/>
          <w:lang w:eastAsia="en-GB"/>
        </w:rPr>
        <w:t>overall,</w:t>
      </w:r>
      <w:r w:rsidRPr="00D409AA">
        <w:rPr>
          <w:rFonts w:eastAsia="Times New Roman" w:cs="Arial"/>
          <w:color w:val="auto"/>
          <w:lang w:eastAsia="en-GB"/>
        </w:rPr>
        <w:t xml:space="preserve"> these are mitigated by underspends on staffing and non-staff costs. </w:t>
      </w:r>
    </w:p>
    <w:p w14:paraId="216B9CBC" w14:textId="77777777" w:rsidR="00D409AA" w:rsidRPr="00E07A8C" w:rsidRDefault="00D409AA" w:rsidP="0026517A">
      <w:pPr>
        <w:autoSpaceDE/>
        <w:autoSpaceDN/>
        <w:adjustRightInd/>
        <w:spacing w:after="0"/>
        <w:contextualSpacing/>
        <w:jc w:val="left"/>
        <w:rPr>
          <w:rFonts w:eastAsia="Times New Roman" w:cs="Arial"/>
          <w:b/>
          <w:lang w:eastAsia="en-GB"/>
        </w:rPr>
      </w:pPr>
    </w:p>
    <w:p w14:paraId="38689FC7" w14:textId="77777777" w:rsidR="00527DBC" w:rsidRPr="00932279" w:rsidRDefault="00162F2E" w:rsidP="0026517A">
      <w:pPr>
        <w:autoSpaceDE/>
        <w:autoSpaceDN/>
        <w:adjustRightInd/>
        <w:spacing w:after="0"/>
        <w:ind w:left="855" w:hanging="855"/>
        <w:contextualSpacing/>
        <w:textAlignment w:val="baseline"/>
        <w:rPr>
          <w:rFonts w:ascii="Segoe UI" w:eastAsia="Times New Roman" w:hAnsi="Segoe UI" w:cs="Segoe UI"/>
          <w:color w:val="auto"/>
          <w:sz w:val="18"/>
          <w:szCs w:val="18"/>
          <w:lang w:eastAsia="en-GB"/>
        </w:rPr>
      </w:pPr>
      <w:r w:rsidRPr="00932279">
        <w:rPr>
          <w:rFonts w:eastAsia="Times New Roman" w:cs="Arial"/>
          <w:b/>
          <w:bCs/>
          <w:color w:val="auto"/>
          <w:lang w:eastAsia="en-GB"/>
        </w:rPr>
        <w:t>Children's Social Care – Underspend £6.53</w:t>
      </w:r>
      <w:r w:rsidR="00AE76A9" w:rsidRPr="00932279">
        <w:rPr>
          <w:rFonts w:eastAsia="Times New Roman" w:cs="Arial"/>
          <w:b/>
          <w:bCs/>
          <w:color w:val="auto"/>
          <w:lang w:eastAsia="en-GB"/>
        </w:rPr>
        <w:t>4</w:t>
      </w:r>
      <w:r w:rsidRPr="00932279">
        <w:rPr>
          <w:rFonts w:eastAsia="Times New Roman" w:cs="Arial"/>
          <w:b/>
          <w:bCs/>
          <w:color w:val="auto"/>
          <w:lang w:eastAsia="en-GB"/>
        </w:rPr>
        <w:t>m</w:t>
      </w:r>
      <w:r w:rsidRPr="00932279">
        <w:rPr>
          <w:rFonts w:eastAsia="Times New Roman" w:cs="Arial"/>
          <w:color w:val="auto"/>
          <w:lang w:eastAsia="en-GB"/>
        </w:rPr>
        <w:t> </w:t>
      </w:r>
    </w:p>
    <w:p w14:paraId="20C67A13"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FF0000"/>
          <w:lang w:eastAsia="en-GB"/>
        </w:rPr>
        <w:t> </w:t>
      </w:r>
    </w:p>
    <w:p w14:paraId="7945EA23"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The largest areas of spend within the Children's Social Care Service are for social work teams and residential and fostering placements for children in our care with activity cutting across a number of service areas. </w:t>
      </w:r>
    </w:p>
    <w:p w14:paraId="0A344C9C"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136BB4F2" w14:textId="77777777" w:rsidR="00975D64" w:rsidRDefault="00162F2E" w:rsidP="00975D64">
      <w:pPr>
        <w:pStyle w:val="paragraph"/>
        <w:spacing w:before="0" w:beforeAutospacing="0" w:after="0" w:afterAutospacing="0"/>
        <w:jc w:val="both"/>
        <w:textAlignment w:val="baseline"/>
        <w:rPr>
          <w:rStyle w:val="normaltextrun"/>
          <w:rFonts w:ascii="Arial" w:hAnsi="Arial"/>
          <w:color w:val="000000"/>
        </w:rPr>
      </w:pPr>
      <w:r>
        <w:rPr>
          <w:rStyle w:val="normaltextrun"/>
          <w:rFonts w:ascii="Arial" w:hAnsi="Arial"/>
          <w:color w:val="000000"/>
        </w:rPr>
        <w:t xml:space="preserve">The family safeguarding model is a way of keeping families together where it is safe to do so, achieved through a more collaborative way of working where workers motivate parents to identify the changes needed within their own families, </w:t>
      </w:r>
      <w:r>
        <w:rPr>
          <w:rStyle w:val="normaltextrun"/>
          <w:rFonts w:ascii="Arial" w:hAnsi="Arial"/>
          <w:color w:val="000000"/>
        </w:rPr>
        <w:lastRenderedPageBreak/>
        <w:t>which helps achieve better outcomes for children.  The family safeguarding service works with children and their families aged 12 and under. </w:t>
      </w:r>
    </w:p>
    <w:p w14:paraId="26096B34" w14:textId="77777777" w:rsidR="00527DBC" w:rsidRPr="00527DBC" w:rsidRDefault="00162F2E" w:rsidP="00975D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olor w:val="000000"/>
        </w:rPr>
        <w:t> </w:t>
      </w:r>
      <w:r>
        <w:rPr>
          <w:rStyle w:val="normaltextrun"/>
          <w:rFonts w:ascii="Calibri" w:hAnsi="Calibri" w:cs="Calibri"/>
          <w:color w:val="000000"/>
        </w:rPr>
        <w:t> </w:t>
      </w:r>
      <w:r>
        <w:rPr>
          <w:rStyle w:val="eop"/>
          <w:rFonts w:ascii="Calibri" w:hAnsi="Calibri" w:cs="Calibri"/>
          <w:color w:val="000000"/>
          <w:sz w:val="22"/>
          <w:szCs w:val="22"/>
        </w:rPr>
        <w:t> </w:t>
      </w:r>
    </w:p>
    <w:p w14:paraId="526261B6" w14:textId="77777777" w:rsidR="00527DBC" w:rsidRDefault="00162F2E" w:rsidP="00975D6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olor w:val="000000"/>
        </w:rPr>
        <w:t>The family safeguarding model required investment in staff via the recruitment of adult workers based in children's social work teams and training in motivational interviewing techniques (MIT) but is expected to deliver savings from a reduction in children entering care and resulting placement costs.  </w:t>
      </w:r>
      <w:r w:rsidR="00975D64">
        <w:rPr>
          <w:rStyle w:val="eop"/>
          <w:rFonts w:ascii="Arial" w:hAnsi="Arial"/>
          <w:color w:val="000000"/>
        </w:rPr>
        <w:t> </w:t>
      </w:r>
    </w:p>
    <w:p w14:paraId="234B6952"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1F143F57"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The first adult workers have been in post since January 2021.  Recruitment of posts was ongoing during 2021/22 with most posts now filled, although there are some challenges in recruiting to probation roles following changes to probation services in England and Wales.  The first rounds of MIT training began in early 2020/21 and is ongoing as planned.   </w:t>
      </w:r>
    </w:p>
    <w:p w14:paraId="66CEAA32"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FF0000"/>
          <w:lang w:eastAsia="en-GB"/>
        </w:rPr>
        <w:t> </w:t>
      </w:r>
    </w:p>
    <w:p w14:paraId="216425D8"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xml:space="preserve">LFS was expected to begin to deliver savings in </w:t>
      </w:r>
      <w:r w:rsidR="00AE76A9">
        <w:rPr>
          <w:rFonts w:eastAsia="Times New Roman" w:cs="Arial"/>
          <w:color w:val="auto"/>
          <w:lang w:eastAsia="en-GB"/>
        </w:rPr>
        <w:t>202</w:t>
      </w:r>
      <w:r w:rsidR="00141CB1">
        <w:rPr>
          <w:rFonts w:eastAsia="Times New Roman" w:cs="Arial"/>
          <w:color w:val="auto"/>
          <w:lang w:eastAsia="en-GB"/>
        </w:rPr>
        <w:t>1/22</w:t>
      </w:r>
      <w:r w:rsidRPr="00527DBC">
        <w:rPr>
          <w:rFonts w:eastAsia="Times New Roman" w:cs="Arial"/>
          <w:color w:val="auto"/>
          <w:lang w:eastAsia="en-GB"/>
        </w:rPr>
        <w:t xml:space="preserve"> from October 2021.  However, on average the number of children entering care has fallen since September 2020 and there has been a significant reduction in the number of children looked after, from 2,085 (excluding children with disabilities) in September 2020 to 1,882 in March 2022, a reduction of 203 (c10%) with most of this reduction occurring since January 2021. </w:t>
      </w:r>
    </w:p>
    <w:p w14:paraId="1A0C959B" w14:textId="77777777" w:rsidR="002B099D" w:rsidRDefault="002B099D" w:rsidP="0026517A">
      <w:pPr>
        <w:autoSpaceDE/>
        <w:autoSpaceDN/>
        <w:adjustRightInd/>
        <w:spacing w:after="0"/>
        <w:contextualSpacing/>
        <w:textAlignment w:val="baseline"/>
        <w:rPr>
          <w:rFonts w:eastAsia="Times New Roman" w:cs="Arial"/>
          <w:color w:val="auto"/>
          <w:lang w:eastAsia="en-GB"/>
        </w:rPr>
      </w:pPr>
    </w:p>
    <w:p w14:paraId="6FD40F62"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Whilst the implementation of LFS has undoubtedly had a positive impact on the numbers of children entering care, it is likely that the pandemic has also had some impact with reductions in numbers of both referrals and new assessments started over the same period. It is almost impossible to know how much of the reduction has resulted from each of these factors.  </w:t>
      </w:r>
    </w:p>
    <w:p w14:paraId="355F05A8"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1968DCF8" w14:textId="77777777" w:rsidR="00A26FCE" w:rsidRDefault="00162F2E" w:rsidP="0026517A">
      <w:pPr>
        <w:autoSpaceDE/>
        <w:autoSpaceDN/>
        <w:adjustRightInd/>
        <w:spacing w:after="0"/>
        <w:contextualSpacing/>
        <w:textAlignment w:val="baseline"/>
        <w:rPr>
          <w:rFonts w:eastAsia="Times New Roman" w:cs="Arial"/>
          <w:color w:val="auto"/>
          <w:lang w:eastAsia="en-GB"/>
        </w:rPr>
      </w:pPr>
      <w:r w:rsidRPr="00527DBC">
        <w:rPr>
          <w:rFonts w:eastAsia="Times New Roman" w:cs="Arial"/>
          <w:color w:val="auto"/>
          <w:lang w:eastAsia="en-GB"/>
        </w:rPr>
        <w:t>None the less residential and fostering placements (including in-house residential provision) underspent by c£6.050m in 2021/22 as a result of reductions in numbers of</w:t>
      </w:r>
      <w:r w:rsidRPr="00527DBC">
        <w:rPr>
          <w:rFonts w:eastAsia="Times New Roman" w:cs="Arial"/>
          <w:color w:val="881798"/>
          <w:u w:val="single"/>
          <w:lang w:eastAsia="en-GB"/>
        </w:rPr>
        <w:t xml:space="preserve"> </w:t>
      </w:r>
      <w:r w:rsidRPr="00527DBC">
        <w:rPr>
          <w:rFonts w:eastAsia="Times New Roman" w:cs="Arial"/>
          <w:color w:val="auto"/>
          <w:lang w:eastAsia="en-GB"/>
        </w:rPr>
        <w:t>children looked after.   This in part represents early delivery of savings.</w:t>
      </w:r>
    </w:p>
    <w:p w14:paraId="66F1CEE3" w14:textId="77777777" w:rsidR="00E96CFC" w:rsidRDefault="00E96CFC" w:rsidP="0026517A">
      <w:pPr>
        <w:autoSpaceDE/>
        <w:autoSpaceDN/>
        <w:adjustRightInd/>
        <w:spacing w:after="0"/>
        <w:contextualSpacing/>
        <w:textAlignment w:val="baseline"/>
        <w:rPr>
          <w:rFonts w:eastAsia="Times New Roman" w:cs="Arial"/>
          <w:color w:val="auto"/>
          <w:lang w:eastAsia="en-GB"/>
        </w:rPr>
      </w:pPr>
    </w:p>
    <w:p w14:paraId="659ACE87" w14:textId="77777777" w:rsidR="00E96CFC" w:rsidRDefault="00162F2E" w:rsidP="00E96CFC">
      <w:pPr>
        <w:pStyle w:val="paragraph"/>
        <w:spacing w:before="0" w:beforeAutospacing="0" w:after="0" w:afterAutospacing="0"/>
        <w:jc w:val="both"/>
        <w:textAlignment w:val="baseline"/>
        <w:rPr>
          <w:rStyle w:val="eop"/>
          <w:rFonts w:ascii="Arial" w:hAnsi="Arial"/>
        </w:rPr>
      </w:pPr>
      <w:r>
        <w:rPr>
          <w:rStyle w:val="normaltextrun"/>
          <w:rFonts w:ascii="Arial" w:hAnsi="Arial"/>
        </w:rPr>
        <w:t>The budget for the Children's Social Care Service also covers other allowances, payments and assistance to families which underspent by c£210</w:t>
      </w:r>
      <w:r w:rsidR="009D263F">
        <w:rPr>
          <w:rStyle w:val="normaltextrun"/>
          <w:rFonts w:ascii="Arial" w:hAnsi="Arial"/>
        </w:rPr>
        <w:t>,000</w:t>
      </w:r>
      <w:r>
        <w:rPr>
          <w:rStyle w:val="normaltextrun"/>
          <w:rFonts w:ascii="Arial" w:hAnsi="Arial"/>
        </w:rPr>
        <w:t xml:space="preserve"> as detailed below.</w:t>
      </w:r>
      <w:r>
        <w:rPr>
          <w:rStyle w:val="eop"/>
          <w:rFonts w:ascii="Arial" w:hAnsi="Arial"/>
        </w:rPr>
        <w:t> </w:t>
      </w:r>
    </w:p>
    <w:p w14:paraId="7EF1F8BD" w14:textId="77777777" w:rsidR="00F7740A" w:rsidRDefault="00F7740A" w:rsidP="00E96CFC">
      <w:pPr>
        <w:pStyle w:val="paragraph"/>
        <w:spacing w:before="0" w:beforeAutospacing="0" w:after="0" w:afterAutospacing="0"/>
        <w:jc w:val="both"/>
        <w:textAlignment w:val="baseline"/>
        <w:rPr>
          <w:rFonts w:ascii="Segoe UI" w:hAnsi="Segoe UI" w:cs="Segoe UI"/>
          <w:sz w:val="18"/>
          <w:szCs w:val="18"/>
        </w:rPr>
      </w:pPr>
    </w:p>
    <w:p w14:paraId="23E079DA" w14:textId="77777777" w:rsidR="00E96CFC" w:rsidRDefault="00162F2E" w:rsidP="00945B6C">
      <w:pPr>
        <w:numPr>
          <w:ilvl w:val="0"/>
          <w:numId w:val="39"/>
        </w:numPr>
        <w:autoSpaceDE/>
        <w:autoSpaceDN/>
        <w:adjustRightInd/>
        <w:spacing w:after="0"/>
        <w:contextualSpacing/>
        <w:textAlignment w:val="baseline"/>
        <w:rPr>
          <w:rFonts w:cs="Arial"/>
        </w:rPr>
      </w:pPr>
      <w:r w:rsidRPr="00945B6C">
        <w:rPr>
          <w:rFonts w:cs="Arial"/>
        </w:rPr>
        <w:t>Assistance to families and regular payments are overspent by c£710</w:t>
      </w:r>
      <w:r w:rsidR="00401879">
        <w:rPr>
          <w:rFonts w:cs="Arial"/>
        </w:rPr>
        <w:t>,000</w:t>
      </w:r>
      <w:r w:rsidRPr="00945B6C">
        <w:rPr>
          <w:rFonts w:cs="Arial"/>
        </w:rPr>
        <w:t xml:space="preserve"> due to a combination of the pandemic and the provision </w:t>
      </w:r>
      <w:r>
        <w:rPr>
          <w:rStyle w:val="normaltextrun"/>
        </w:rPr>
        <w:t>of support to keep children at home with their families where it is safe to do so.</w:t>
      </w:r>
      <w:r>
        <w:rPr>
          <w:rStyle w:val="eop"/>
        </w:rPr>
        <w:t> </w:t>
      </w:r>
    </w:p>
    <w:p w14:paraId="75AF582A" w14:textId="77777777" w:rsidR="00E96CFC" w:rsidRDefault="00162F2E" w:rsidP="00945B6C">
      <w:pPr>
        <w:numPr>
          <w:ilvl w:val="0"/>
          <w:numId w:val="39"/>
        </w:numPr>
        <w:autoSpaceDE/>
        <w:autoSpaceDN/>
        <w:adjustRightInd/>
        <w:spacing w:after="0"/>
        <w:contextualSpacing/>
        <w:textAlignment w:val="baseline"/>
        <w:rPr>
          <w:rFonts w:cs="Arial"/>
        </w:rPr>
      </w:pPr>
      <w:r w:rsidRPr="00945B6C">
        <w:rPr>
          <w:rFonts w:cs="Arial"/>
        </w:rPr>
        <w:t>Special guardianship orders (SGO's) and child arrangement orders (CAO's) underspent by c£130,000 due to a smaller increase in demand than budgeted for. </w:t>
      </w:r>
      <w:r>
        <w:rPr>
          <w:rStyle w:val="eop"/>
        </w:rPr>
        <w:t> </w:t>
      </w:r>
    </w:p>
    <w:p w14:paraId="62D63765" w14:textId="77777777" w:rsidR="00E96CFC" w:rsidRDefault="00162F2E" w:rsidP="00945B6C">
      <w:pPr>
        <w:numPr>
          <w:ilvl w:val="0"/>
          <w:numId w:val="39"/>
        </w:numPr>
        <w:autoSpaceDE/>
        <w:autoSpaceDN/>
        <w:adjustRightInd/>
        <w:spacing w:after="0"/>
        <w:contextualSpacing/>
        <w:textAlignment w:val="baseline"/>
        <w:rPr>
          <w:rFonts w:cs="Arial"/>
        </w:rPr>
      </w:pPr>
      <w:r w:rsidRPr="00945B6C">
        <w:rPr>
          <w:rFonts w:cs="Arial"/>
        </w:rPr>
        <w:t>Underspends on sta</w:t>
      </w:r>
      <w:r>
        <w:rPr>
          <w:rStyle w:val="normaltextrun"/>
        </w:rPr>
        <w:t>ying put arrangements and leaving care allowances are c£680</w:t>
      </w:r>
      <w:r w:rsidR="00401879">
        <w:rPr>
          <w:rStyle w:val="normaltextrun"/>
        </w:rPr>
        <w:t>,000.</w:t>
      </w:r>
      <w:r>
        <w:rPr>
          <w:rStyle w:val="normaltextrun"/>
        </w:rPr>
        <w:t> </w:t>
      </w:r>
      <w:r>
        <w:rPr>
          <w:rStyle w:val="eop"/>
        </w:rPr>
        <w:t> </w:t>
      </w:r>
    </w:p>
    <w:p w14:paraId="4F180C82" w14:textId="77777777" w:rsidR="00E96CFC" w:rsidRDefault="00162F2E" w:rsidP="00945B6C">
      <w:pPr>
        <w:numPr>
          <w:ilvl w:val="0"/>
          <w:numId w:val="39"/>
        </w:numPr>
        <w:autoSpaceDE/>
        <w:autoSpaceDN/>
        <w:adjustRightInd/>
        <w:spacing w:after="0"/>
        <w:contextualSpacing/>
        <w:textAlignment w:val="baseline"/>
        <w:rPr>
          <w:rFonts w:cs="Arial"/>
        </w:rPr>
      </w:pPr>
      <w:r w:rsidRPr="00945B6C">
        <w:rPr>
          <w:rFonts w:cs="Arial"/>
        </w:rPr>
        <w:t>Adoption allowances underspent by c£</w:t>
      </w:r>
      <w:r w:rsidR="009F429E">
        <w:rPr>
          <w:rFonts w:cs="Arial"/>
        </w:rPr>
        <w:t>110,000</w:t>
      </w:r>
      <w:r w:rsidRPr="00945B6C">
        <w:rPr>
          <w:rFonts w:cs="Arial"/>
        </w:rPr>
        <w:t>.</w:t>
      </w:r>
      <w:r>
        <w:rPr>
          <w:rStyle w:val="eop"/>
        </w:rPr>
        <w:t> </w:t>
      </w:r>
    </w:p>
    <w:p w14:paraId="68A4C9DD" w14:textId="77777777" w:rsidR="00527DBC" w:rsidRDefault="00162F2E" w:rsidP="0026517A">
      <w:pPr>
        <w:autoSpaceDE/>
        <w:autoSpaceDN/>
        <w:adjustRightInd/>
        <w:spacing w:after="0"/>
        <w:contextualSpacing/>
        <w:textAlignment w:val="baseline"/>
        <w:rPr>
          <w:rFonts w:eastAsia="Times New Roman" w:cs="Arial"/>
          <w:color w:val="auto"/>
          <w:lang w:eastAsia="en-GB"/>
        </w:rPr>
      </w:pPr>
      <w:r w:rsidRPr="00527DBC">
        <w:rPr>
          <w:rFonts w:eastAsia="Times New Roman" w:cs="Arial"/>
          <w:color w:val="auto"/>
          <w:lang w:eastAsia="en-GB"/>
        </w:rPr>
        <w:t> </w:t>
      </w:r>
    </w:p>
    <w:p w14:paraId="14E1200B" w14:textId="77777777" w:rsidR="00F573AD" w:rsidRDefault="00162F2E" w:rsidP="00F573AD">
      <w:pPr>
        <w:spacing w:after="0"/>
        <w:contextualSpacing/>
        <w:rPr>
          <w:rFonts w:cs="Arial"/>
        </w:rPr>
      </w:pPr>
      <w:r w:rsidRPr="000D5259">
        <w:rPr>
          <w:rFonts w:cs="Arial"/>
        </w:rPr>
        <w:t>Underspends of c£</w:t>
      </w:r>
      <w:r>
        <w:rPr>
          <w:rFonts w:cs="Arial"/>
        </w:rPr>
        <w:t>270</w:t>
      </w:r>
      <w:r w:rsidR="009F429E">
        <w:rPr>
          <w:rFonts w:cs="Arial"/>
        </w:rPr>
        <w:t>,000</w:t>
      </w:r>
      <w:r w:rsidRPr="000D5259">
        <w:rPr>
          <w:rFonts w:cs="Arial"/>
        </w:rPr>
        <w:t xml:space="preserve"> relate to a </w:t>
      </w:r>
      <w:r w:rsidRPr="000A142D">
        <w:rPr>
          <w:rFonts w:cs="Arial"/>
        </w:rPr>
        <w:t xml:space="preserve">number of </w:t>
      </w:r>
      <w:r w:rsidR="00C3436A">
        <w:rPr>
          <w:rFonts w:cs="Arial"/>
        </w:rPr>
        <w:t>areas of spend</w:t>
      </w:r>
      <w:r w:rsidRPr="000A142D">
        <w:rPr>
          <w:rFonts w:cs="Arial"/>
        </w:rPr>
        <w:t xml:space="preserve"> across the service.   </w:t>
      </w:r>
    </w:p>
    <w:p w14:paraId="1B970A09" w14:textId="77777777" w:rsidR="00FA3808" w:rsidRPr="00527DBC" w:rsidRDefault="00FA3808" w:rsidP="0026517A">
      <w:pPr>
        <w:autoSpaceDE/>
        <w:autoSpaceDN/>
        <w:adjustRightInd/>
        <w:spacing w:after="0"/>
        <w:contextualSpacing/>
        <w:textAlignment w:val="baseline"/>
        <w:rPr>
          <w:rFonts w:ascii="Segoe UI" w:eastAsia="Times New Roman" w:hAnsi="Segoe UI" w:cs="Segoe UI"/>
          <w:color w:val="auto"/>
          <w:sz w:val="18"/>
          <w:szCs w:val="18"/>
          <w:lang w:eastAsia="en-GB"/>
        </w:rPr>
      </w:pPr>
    </w:p>
    <w:p w14:paraId="0C68AC0D"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Pr>
          <w:rFonts w:eastAsia="Times New Roman" w:cs="Arial"/>
          <w:color w:val="auto"/>
          <w:lang w:eastAsia="en-GB"/>
        </w:rPr>
        <w:t>T</w:t>
      </w:r>
      <w:r w:rsidRPr="00527DBC">
        <w:rPr>
          <w:rFonts w:eastAsia="Times New Roman" w:cs="Arial"/>
          <w:color w:val="auto"/>
          <w:lang w:eastAsia="en-GB"/>
        </w:rPr>
        <w:t>he outturn includes contributions of c£</w:t>
      </w:r>
      <w:r w:rsidR="009F429E">
        <w:rPr>
          <w:rFonts w:eastAsia="Times New Roman" w:cs="Arial"/>
          <w:color w:val="auto"/>
          <w:lang w:eastAsia="en-GB"/>
        </w:rPr>
        <w:t>300,000</w:t>
      </w:r>
      <w:r w:rsidRPr="00527DBC">
        <w:rPr>
          <w:rFonts w:eastAsia="Times New Roman" w:cs="Arial"/>
          <w:color w:val="auto"/>
          <w:lang w:eastAsia="en-GB"/>
        </w:rPr>
        <w:t xml:space="preserve"> from the Contain Outbreak Management Fund to cover costs incurred in dealing with the pandemic. </w:t>
      </w:r>
    </w:p>
    <w:p w14:paraId="269D2BB7"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76A2DFC6"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lastRenderedPageBreak/>
        <w:t xml:space="preserve">The position has improved by c£1.040m compared to quarter 3 which is mainly due to a reduction in placement </w:t>
      </w:r>
      <w:r w:rsidR="003866DC">
        <w:rPr>
          <w:rFonts w:eastAsia="Times New Roman" w:cs="Arial"/>
          <w:color w:val="auto"/>
          <w:lang w:eastAsia="en-GB"/>
        </w:rPr>
        <w:t xml:space="preserve">and staff </w:t>
      </w:r>
      <w:r w:rsidRPr="00527DBC">
        <w:rPr>
          <w:rFonts w:eastAsia="Times New Roman" w:cs="Arial"/>
          <w:color w:val="auto"/>
          <w:lang w:eastAsia="en-GB"/>
        </w:rPr>
        <w:t>costs and additional grant received for asylum seekers over the age of 18.  </w:t>
      </w:r>
    </w:p>
    <w:p w14:paraId="616F9608"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10DB885A"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b/>
          <w:bCs/>
          <w:color w:val="auto"/>
          <w:u w:val="single"/>
          <w:lang w:eastAsia="en-GB"/>
        </w:rPr>
        <w:t xml:space="preserve">Education and Skills – </w:t>
      </w:r>
      <w:r w:rsidR="00A34B46">
        <w:rPr>
          <w:rFonts w:eastAsia="Times New Roman" w:cs="Arial"/>
          <w:b/>
          <w:bCs/>
          <w:color w:val="auto"/>
          <w:u w:val="single"/>
          <w:lang w:eastAsia="en-GB"/>
        </w:rPr>
        <w:t>overspend £</w:t>
      </w:r>
      <w:r w:rsidR="003D5E5F">
        <w:rPr>
          <w:rFonts w:eastAsia="Times New Roman" w:cs="Arial"/>
          <w:b/>
          <w:bCs/>
          <w:color w:val="auto"/>
          <w:u w:val="single"/>
          <w:lang w:eastAsia="en-GB"/>
        </w:rPr>
        <w:t>129,000</w:t>
      </w:r>
      <w:r w:rsidRPr="00527DBC">
        <w:rPr>
          <w:rFonts w:eastAsia="Times New Roman" w:cs="Arial"/>
          <w:color w:val="auto"/>
          <w:lang w:eastAsia="en-GB"/>
        </w:rPr>
        <w:t> </w:t>
      </w:r>
    </w:p>
    <w:p w14:paraId="510A9732"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FF0000"/>
          <w:lang w:eastAsia="en-GB"/>
        </w:rPr>
        <w:t> </w:t>
      </w:r>
    </w:p>
    <w:p w14:paraId="1E574357"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b/>
          <w:bCs/>
          <w:color w:val="auto"/>
          <w:lang w:eastAsia="en-GB"/>
        </w:rPr>
        <w:t>Children Family and Wellbeing Service (CFW) – Underspend £</w:t>
      </w:r>
      <w:r w:rsidR="001F1E45">
        <w:rPr>
          <w:rFonts w:eastAsia="Times New Roman" w:cs="Arial"/>
          <w:b/>
          <w:bCs/>
          <w:color w:val="auto"/>
          <w:lang w:eastAsia="en-GB"/>
        </w:rPr>
        <w:t>175</w:t>
      </w:r>
      <w:r w:rsidR="00280DE3">
        <w:rPr>
          <w:rFonts w:eastAsia="Times New Roman" w:cs="Arial"/>
          <w:b/>
          <w:bCs/>
          <w:color w:val="auto"/>
          <w:lang w:eastAsia="en-GB"/>
        </w:rPr>
        <w:t>,000</w:t>
      </w:r>
    </w:p>
    <w:p w14:paraId="14BF22D8"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03A881D4" w14:textId="77777777" w:rsidR="008804AA" w:rsidRDefault="00162F2E" w:rsidP="0026517A">
      <w:pPr>
        <w:autoSpaceDE/>
        <w:autoSpaceDN/>
        <w:adjustRightInd/>
        <w:spacing w:after="0"/>
        <w:contextualSpacing/>
        <w:textAlignment w:val="baseline"/>
        <w:rPr>
          <w:rStyle w:val="eop"/>
          <w:shd w:val="clear" w:color="auto" w:fill="FFFFFF"/>
        </w:rPr>
      </w:pPr>
      <w:r>
        <w:rPr>
          <w:rStyle w:val="normaltextrun"/>
          <w:rFonts w:cs="Arial"/>
          <w:shd w:val="clear" w:color="auto" w:fill="FFFFFF"/>
        </w:rPr>
        <w:t>Underspends of £1.612m across the service mainly relate to staff (vacancies), operational costs and payments by results (PBR) funding from the Troubled Families Unit (TFU), offset by transfers to reserves of £1.437m to cover future costs of the Growing Up Well Digital Project and delivery of the family hub model.</w:t>
      </w:r>
      <w:r>
        <w:rPr>
          <w:rStyle w:val="eop"/>
          <w:shd w:val="clear" w:color="auto" w:fill="FFFFFF"/>
        </w:rPr>
        <w:t> </w:t>
      </w:r>
    </w:p>
    <w:p w14:paraId="72894ED2" w14:textId="77777777" w:rsidR="008804AA" w:rsidRDefault="008804AA" w:rsidP="0026517A">
      <w:pPr>
        <w:autoSpaceDE/>
        <w:autoSpaceDN/>
        <w:adjustRightInd/>
        <w:spacing w:after="0"/>
        <w:contextualSpacing/>
        <w:textAlignment w:val="baseline"/>
        <w:rPr>
          <w:rStyle w:val="eop"/>
          <w:shd w:val="clear" w:color="auto" w:fill="FFFFFF"/>
        </w:rPr>
      </w:pPr>
    </w:p>
    <w:p w14:paraId="18A1BFF5" w14:textId="77777777" w:rsidR="00527DBC" w:rsidRDefault="00162F2E" w:rsidP="0026517A">
      <w:pPr>
        <w:autoSpaceDE/>
        <w:autoSpaceDN/>
        <w:adjustRightInd/>
        <w:spacing w:after="0"/>
        <w:contextualSpacing/>
        <w:textAlignment w:val="baseline"/>
        <w:rPr>
          <w:rFonts w:eastAsia="Times New Roman" w:cs="Arial"/>
          <w:color w:val="auto"/>
          <w:lang w:eastAsia="en-GB"/>
        </w:rPr>
      </w:pPr>
      <w:r>
        <w:rPr>
          <w:rStyle w:val="normaltextrun"/>
          <w:rFonts w:cs="Arial"/>
          <w:shd w:val="clear" w:color="auto" w:fill="FFFFFF"/>
        </w:rPr>
        <w:t>The position worsened by c£950,000 compared to quarter 3 due to transfers to reserves, offset by further underspends on staffing and operational costs.</w:t>
      </w:r>
      <w:r>
        <w:rPr>
          <w:rStyle w:val="eop"/>
          <w:shd w:val="clear" w:color="auto" w:fill="FFFFFF"/>
        </w:rPr>
        <w:t> </w:t>
      </w:r>
      <w:r w:rsidRPr="00527DBC">
        <w:rPr>
          <w:rFonts w:eastAsia="Times New Roman" w:cs="Arial"/>
          <w:color w:val="auto"/>
          <w:lang w:eastAsia="en-GB"/>
        </w:rPr>
        <w:t> </w:t>
      </w:r>
    </w:p>
    <w:p w14:paraId="104DE29D" w14:textId="77777777" w:rsidR="006C25B2" w:rsidRPr="00527DBC" w:rsidRDefault="006C25B2" w:rsidP="0026517A">
      <w:pPr>
        <w:autoSpaceDE/>
        <w:autoSpaceDN/>
        <w:adjustRightInd/>
        <w:spacing w:after="0"/>
        <w:contextualSpacing/>
        <w:textAlignment w:val="baseline"/>
        <w:rPr>
          <w:rFonts w:ascii="Segoe UI" w:eastAsia="Times New Roman" w:hAnsi="Segoe UI" w:cs="Segoe UI"/>
          <w:color w:val="auto"/>
          <w:sz w:val="18"/>
          <w:szCs w:val="18"/>
          <w:lang w:eastAsia="en-GB"/>
        </w:rPr>
      </w:pPr>
    </w:p>
    <w:p w14:paraId="16FB54E3"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b/>
          <w:bCs/>
          <w:color w:val="auto"/>
          <w:lang w:eastAsia="en-GB"/>
        </w:rPr>
        <w:t>Education Improvement - Overspend £455,000</w:t>
      </w:r>
      <w:r w:rsidRPr="00527DBC">
        <w:rPr>
          <w:rFonts w:eastAsia="Times New Roman" w:cs="Arial"/>
          <w:color w:val="auto"/>
          <w:lang w:eastAsia="en-GB"/>
        </w:rPr>
        <w:t> </w:t>
      </w:r>
    </w:p>
    <w:p w14:paraId="42F4569D"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FF0000"/>
          <w:lang w:eastAsia="en-GB"/>
        </w:rPr>
        <w:t> </w:t>
      </w:r>
    </w:p>
    <w:p w14:paraId="32ABB02F"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Overspends of c£2.400m relate to under recovery of income across the service.  This is largely due to the impact of the pandemic but is also due to some schools opting out of the new advisory service offer and ongoing pressures on some income generating services including Governor Services and the Professional Development Service.  The position includes the recoupment of eligible income losses for April to June 2021 from the sales, fees and charges income compensation scheme and a contribution of c£170,000 from Contain Outbreak Management Fund to cover costs incurred in dealing with the pandemic.  </w:t>
      </w:r>
    </w:p>
    <w:p w14:paraId="7F92CB2B"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3D89377E"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The above overspends are partly offset by underspends on non-staff costs of c£1.960m.</w:t>
      </w:r>
      <w:r w:rsidRPr="00527DBC">
        <w:rPr>
          <w:rFonts w:ascii="Calibri" w:eastAsia="Times New Roman" w:hAnsi="Calibri" w:cs="Calibri"/>
          <w:color w:val="auto"/>
          <w:sz w:val="22"/>
          <w:szCs w:val="22"/>
          <w:lang w:eastAsia="en-GB"/>
        </w:rPr>
        <w:t xml:space="preserve">  </w:t>
      </w:r>
      <w:r w:rsidRPr="00527DBC">
        <w:rPr>
          <w:rFonts w:eastAsia="Times New Roman" w:cs="Arial"/>
          <w:color w:val="auto"/>
          <w:lang w:eastAsia="en-GB"/>
        </w:rPr>
        <w:t> </w:t>
      </w:r>
    </w:p>
    <w:p w14:paraId="5422B4D0"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527F79CF"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The position has improved by c£670,000 compared to quarter 3, mainly due to ongoing staffing vacancies, a reduction in non-staff costs and higher income than anticipated. </w:t>
      </w:r>
    </w:p>
    <w:p w14:paraId="7F70E9C4" w14:textId="77777777" w:rsidR="00665CA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29C4EFCD"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b/>
          <w:bCs/>
          <w:color w:val="auto"/>
          <w:lang w:eastAsia="en-GB"/>
        </w:rPr>
        <w:t>Inclusion - Overspend £225,000</w:t>
      </w:r>
      <w:r w:rsidRPr="00527DBC">
        <w:rPr>
          <w:rFonts w:eastAsia="Times New Roman" w:cs="Arial"/>
          <w:color w:val="auto"/>
          <w:lang w:eastAsia="en-GB"/>
        </w:rPr>
        <w:t> </w:t>
      </w:r>
    </w:p>
    <w:p w14:paraId="03305F06"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71BA0A98"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Overspends of c£1.610m relate to placements and family support</w:t>
      </w:r>
      <w:r w:rsidR="002073A8">
        <w:rPr>
          <w:rFonts w:eastAsia="Times New Roman" w:cs="Arial"/>
          <w:color w:val="auto"/>
          <w:lang w:eastAsia="en-GB"/>
        </w:rPr>
        <w:t xml:space="preserve"> for children with disabilities</w:t>
      </w:r>
      <w:r w:rsidRPr="00527DBC">
        <w:rPr>
          <w:rFonts w:eastAsia="Times New Roman" w:cs="Arial"/>
          <w:color w:val="auto"/>
          <w:lang w:eastAsia="en-GB"/>
        </w:rPr>
        <w:t xml:space="preserve"> and c£190,000 to non-staff costs across the service.  </w:t>
      </w:r>
    </w:p>
    <w:p w14:paraId="093569E0"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FF0000"/>
          <w:lang w:eastAsia="en-GB"/>
        </w:rPr>
        <w:t> </w:t>
      </w:r>
    </w:p>
    <w:p w14:paraId="612B7C22" w14:textId="77777777" w:rsidR="00527DBC" w:rsidRDefault="00162F2E" w:rsidP="00820455">
      <w:pPr>
        <w:autoSpaceDE/>
        <w:autoSpaceDN/>
        <w:adjustRightInd/>
        <w:spacing w:after="0"/>
        <w:contextualSpacing/>
        <w:textAlignment w:val="baseline"/>
        <w:rPr>
          <w:rFonts w:eastAsia="Times New Roman" w:cs="Arial"/>
          <w:color w:val="auto"/>
          <w:lang w:eastAsia="en-GB"/>
        </w:rPr>
      </w:pPr>
      <w:r w:rsidRPr="00527DBC">
        <w:rPr>
          <w:rFonts w:eastAsia="Times New Roman" w:cs="Arial"/>
          <w:color w:val="auto"/>
          <w:lang w:eastAsia="en-GB"/>
        </w:rPr>
        <w:t xml:space="preserve">The above </w:t>
      </w:r>
      <w:r w:rsidR="00414000">
        <w:rPr>
          <w:rFonts w:eastAsia="Times New Roman" w:cs="Arial"/>
          <w:color w:val="auto"/>
          <w:lang w:eastAsia="en-GB"/>
        </w:rPr>
        <w:t xml:space="preserve">overspends </w:t>
      </w:r>
      <w:r w:rsidRPr="00527DBC">
        <w:rPr>
          <w:rFonts w:eastAsia="Times New Roman" w:cs="Arial"/>
          <w:color w:val="auto"/>
          <w:lang w:eastAsia="en-GB"/>
        </w:rPr>
        <w:t>are offset by several underspends as detailed below</w:t>
      </w:r>
      <w:r w:rsidRPr="00527DBC">
        <w:rPr>
          <w:rFonts w:eastAsia="Times New Roman" w:cs="Arial"/>
          <w:color w:val="881798"/>
          <w:u w:val="single"/>
          <w:lang w:eastAsia="en-GB"/>
        </w:rPr>
        <w:t>.</w:t>
      </w:r>
      <w:r w:rsidRPr="00527DBC">
        <w:rPr>
          <w:rFonts w:eastAsia="Times New Roman" w:cs="Arial"/>
          <w:color w:val="auto"/>
          <w:lang w:eastAsia="en-GB"/>
        </w:rPr>
        <w:t> </w:t>
      </w:r>
    </w:p>
    <w:p w14:paraId="5C46024F" w14:textId="77777777" w:rsidR="00414000" w:rsidRPr="00527DBC" w:rsidRDefault="00414000" w:rsidP="0026517A">
      <w:pPr>
        <w:autoSpaceDE/>
        <w:autoSpaceDN/>
        <w:adjustRightInd/>
        <w:spacing w:after="0"/>
        <w:contextualSpacing/>
        <w:textAlignment w:val="baseline"/>
        <w:rPr>
          <w:rFonts w:ascii="Segoe UI" w:eastAsia="Times New Roman" w:hAnsi="Segoe UI" w:cs="Segoe UI"/>
          <w:color w:val="auto"/>
          <w:sz w:val="18"/>
          <w:szCs w:val="18"/>
          <w:lang w:eastAsia="en-GB"/>
        </w:rPr>
      </w:pPr>
    </w:p>
    <w:p w14:paraId="04D3885D" w14:textId="77777777" w:rsidR="00527DBC" w:rsidRPr="00527DBC" w:rsidRDefault="00162F2E" w:rsidP="0025456F">
      <w:pPr>
        <w:numPr>
          <w:ilvl w:val="0"/>
          <w:numId w:val="39"/>
        </w:numPr>
        <w:autoSpaceDE/>
        <w:autoSpaceDN/>
        <w:adjustRightInd/>
        <w:spacing w:after="0"/>
        <w:contextualSpacing/>
        <w:textAlignment w:val="baseline"/>
        <w:rPr>
          <w:rFonts w:eastAsia="Times New Roman" w:cs="Arial"/>
          <w:lang w:eastAsia="en-GB"/>
        </w:rPr>
      </w:pPr>
      <w:r w:rsidRPr="00527DBC">
        <w:rPr>
          <w:rFonts w:eastAsia="Times New Roman" w:cs="Arial"/>
          <w:lang w:eastAsia="en-GB"/>
        </w:rPr>
        <w:t>Underspends of c£700,000 relate to staffing across various teams. The service is working to fill vacancies following recruitment delays due to the pandemic.   </w:t>
      </w:r>
    </w:p>
    <w:p w14:paraId="42230E55" w14:textId="77777777" w:rsidR="00527DBC" w:rsidRPr="00527DBC" w:rsidRDefault="00162F2E" w:rsidP="0025456F">
      <w:pPr>
        <w:numPr>
          <w:ilvl w:val="0"/>
          <w:numId w:val="39"/>
        </w:numPr>
        <w:autoSpaceDE/>
        <w:autoSpaceDN/>
        <w:adjustRightInd/>
        <w:spacing w:after="0"/>
        <w:contextualSpacing/>
        <w:textAlignment w:val="baseline"/>
        <w:rPr>
          <w:rFonts w:eastAsia="Times New Roman" w:cs="Arial"/>
          <w:lang w:eastAsia="en-GB"/>
        </w:rPr>
      </w:pPr>
      <w:r w:rsidRPr="00527DBC">
        <w:rPr>
          <w:rFonts w:eastAsia="Times New Roman" w:cs="Arial"/>
          <w:lang w:eastAsia="en-GB"/>
        </w:rPr>
        <w:t>Direct payments underspent by c£300,000 mainly due to audited clawbacks.   </w:t>
      </w:r>
    </w:p>
    <w:p w14:paraId="55E9B5B5" w14:textId="77777777" w:rsidR="00527DBC" w:rsidRPr="00527DBC" w:rsidRDefault="00162F2E" w:rsidP="0025456F">
      <w:pPr>
        <w:numPr>
          <w:ilvl w:val="0"/>
          <w:numId w:val="39"/>
        </w:numPr>
        <w:autoSpaceDE/>
        <w:autoSpaceDN/>
        <w:adjustRightInd/>
        <w:spacing w:after="0"/>
        <w:contextualSpacing/>
        <w:textAlignment w:val="baseline"/>
        <w:rPr>
          <w:rFonts w:eastAsia="Times New Roman" w:cs="Arial"/>
          <w:lang w:eastAsia="en-GB"/>
        </w:rPr>
      </w:pPr>
      <w:r w:rsidRPr="00527DBC">
        <w:rPr>
          <w:rFonts w:eastAsia="Times New Roman" w:cs="Arial"/>
          <w:lang w:eastAsia="en-GB"/>
        </w:rPr>
        <w:t>Lancashire Break Time underspent by c£180,000 due to reduction in uptake due to the pandemic.  </w:t>
      </w:r>
    </w:p>
    <w:p w14:paraId="01ECD100" w14:textId="77777777" w:rsidR="00527DBC" w:rsidRPr="00527DBC" w:rsidRDefault="00162F2E" w:rsidP="0025456F">
      <w:pPr>
        <w:numPr>
          <w:ilvl w:val="0"/>
          <w:numId w:val="39"/>
        </w:numPr>
        <w:autoSpaceDE/>
        <w:autoSpaceDN/>
        <w:adjustRightInd/>
        <w:spacing w:after="0"/>
        <w:contextualSpacing/>
        <w:textAlignment w:val="baseline"/>
        <w:rPr>
          <w:rFonts w:eastAsia="Times New Roman" w:cs="Arial"/>
          <w:lang w:eastAsia="en-GB"/>
        </w:rPr>
      </w:pPr>
      <w:r w:rsidRPr="00527DBC">
        <w:rPr>
          <w:rFonts w:eastAsia="Times New Roman" w:cs="Arial"/>
          <w:lang w:eastAsia="en-GB"/>
        </w:rPr>
        <w:t>SEN Traded Service underspent by c£185,000, mainly due to vacancies offset by under recovery of income.  </w:t>
      </w:r>
    </w:p>
    <w:p w14:paraId="751AA438" w14:textId="77777777" w:rsidR="00527DBC" w:rsidRPr="00527DBC" w:rsidRDefault="00162F2E" w:rsidP="0025456F">
      <w:pPr>
        <w:numPr>
          <w:ilvl w:val="0"/>
          <w:numId w:val="39"/>
        </w:numPr>
        <w:autoSpaceDE/>
        <w:autoSpaceDN/>
        <w:adjustRightInd/>
        <w:spacing w:after="0"/>
        <w:contextualSpacing/>
        <w:textAlignment w:val="baseline"/>
        <w:rPr>
          <w:rFonts w:eastAsia="Times New Roman" w:cs="Arial"/>
          <w:lang w:eastAsia="en-GB"/>
        </w:rPr>
      </w:pPr>
      <w:r w:rsidRPr="00527DBC">
        <w:rPr>
          <w:rFonts w:eastAsia="Times New Roman" w:cs="Arial"/>
          <w:lang w:eastAsia="en-GB"/>
        </w:rPr>
        <w:t xml:space="preserve">Aids, </w:t>
      </w:r>
      <w:r w:rsidR="003C75FF">
        <w:rPr>
          <w:rFonts w:eastAsia="Times New Roman" w:cs="Arial"/>
          <w:lang w:eastAsia="en-GB"/>
        </w:rPr>
        <w:t>a</w:t>
      </w:r>
      <w:r w:rsidRPr="00527DBC">
        <w:rPr>
          <w:rFonts w:eastAsia="Times New Roman" w:cs="Arial"/>
          <w:lang w:eastAsia="en-GB"/>
        </w:rPr>
        <w:t xml:space="preserve">daptations </w:t>
      </w:r>
      <w:r w:rsidR="003C75FF">
        <w:rPr>
          <w:rFonts w:eastAsia="Times New Roman" w:cs="Arial"/>
          <w:lang w:eastAsia="en-GB"/>
        </w:rPr>
        <w:t>and</w:t>
      </w:r>
      <w:r w:rsidRPr="00527DBC">
        <w:rPr>
          <w:rFonts w:eastAsia="Times New Roman" w:cs="Arial"/>
          <w:lang w:eastAsia="en-GB"/>
        </w:rPr>
        <w:t xml:space="preserve"> </w:t>
      </w:r>
      <w:r w:rsidR="003C75FF">
        <w:rPr>
          <w:rFonts w:eastAsia="Times New Roman" w:cs="Arial"/>
          <w:lang w:eastAsia="en-GB"/>
        </w:rPr>
        <w:t>c</w:t>
      </w:r>
      <w:r w:rsidRPr="00527DBC">
        <w:rPr>
          <w:rFonts w:eastAsia="Times New Roman" w:cs="Arial"/>
          <w:lang w:eastAsia="en-GB"/>
        </w:rPr>
        <w:t xml:space="preserve">ommunity </w:t>
      </w:r>
      <w:r w:rsidR="003C75FF">
        <w:rPr>
          <w:rFonts w:eastAsia="Times New Roman" w:cs="Arial"/>
          <w:lang w:eastAsia="en-GB"/>
        </w:rPr>
        <w:t>e</w:t>
      </w:r>
      <w:r w:rsidRPr="00527DBC">
        <w:rPr>
          <w:rFonts w:eastAsia="Times New Roman" w:cs="Arial"/>
          <w:lang w:eastAsia="en-GB"/>
        </w:rPr>
        <w:t>quipment underspent by c£215,000.   </w:t>
      </w:r>
    </w:p>
    <w:p w14:paraId="1A1AF388" w14:textId="77777777" w:rsidR="00527DBC" w:rsidRPr="00527DBC" w:rsidRDefault="00527DBC" w:rsidP="0026517A">
      <w:pPr>
        <w:autoSpaceDE/>
        <w:autoSpaceDN/>
        <w:adjustRightInd/>
        <w:spacing w:after="0"/>
        <w:contextualSpacing/>
        <w:textAlignment w:val="baseline"/>
        <w:rPr>
          <w:rFonts w:ascii="Segoe UI" w:eastAsia="Times New Roman" w:hAnsi="Segoe UI" w:cs="Segoe UI"/>
          <w:color w:val="auto"/>
          <w:sz w:val="18"/>
          <w:szCs w:val="18"/>
          <w:lang w:eastAsia="en-GB"/>
        </w:rPr>
      </w:pPr>
    </w:p>
    <w:p w14:paraId="16FD6447" w14:textId="77777777" w:rsidR="00527DBC" w:rsidRPr="00527DB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lastRenderedPageBreak/>
        <w:t xml:space="preserve">The position has worsened by c£470,000 compared to quarter 3, mainly due to an increase in placement and family support costs and </w:t>
      </w:r>
      <w:r w:rsidR="00D61388">
        <w:rPr>
          <w:rFonts w:eastAsia="Times New Roman" w:cs="Arial"/>
          <w:color w:val="auto"/>
          <w:lang w:eastAsia="en-GB"/>
        </w:rPr>
        <w:t>di</w:t>
      </w:r>
      <w:r w:rsidRPr="00527DBC">
        <w:rPr>
          <w:rFonts w:eastAsia="Times New Roman" w:cs="Arial"/>
          <w:color w:val="auto"/>
          <w:lang w:eastAsia="en-GB"/>
        </w:rPr>
        <w:t xml:space="preserve">rect </w:t>
      </w:r>
      <w:r w:rsidR="00D61388">
        <w:rPr>
          <w:rFonts w:eastAsia="Times New Roman" w:cs="Arial"/>
          <w:color w:val="auto"/>
          <w:lang w:eastAsia="en-GB"/>
        </w:rPr>
        <w:t>p</w:t>
      </w:r>
      <w:r w:rsidRPr="00527DBC">
        <w:rPr>
          <w:rFonts w:eastAsia="Times New Roman" w:cs="Arial"/>
          <w:color w:val="auto"/>
          <w:lang w:eastAsia="en-GB"/>
        </w:rPr>
        <w:t xml:space="preserve">ayments, offset by reductions in </w:t>
      </w:r>
      <w:r w:rsidR="00D61388">
        <w:rPr>
          <w:rFonts w:eastAsia="Times New Roman" w:cs="Arial"/>
          <w:color w:val="auto"/>
          <w:lang w:eastAsia="en-GB"/>
        </w:rPr>
        <w:t>a</w:t>
      </w:r>
      <w:r w:rsidRPr="00527DBC">
        <w:rPr>
          <w:rFonts w:eastAsia="Times New Roman" w:cs="Arial"/>
          <w:color w:val="auto"/>
          <w:lang w:eastAsia="en-GB"/>
        </w:rPr>
        <w:t xml:space="preserve">ids, </w:t>
      </w:r>
      <w:r w:rsidR="00D61388">
        <w:rPr>
          <w:rFonts w:eastAsia="Times New Roman" w:cs="Arial"/>
          <w:color w:val="auto"/>
          <w:lang w:eastAsia="en-GB"/>
        </w:rPr>
        <w:t>a</w:t>
      </w:r>
      <w:r w:rsidRPr="00527DBC">
        <w:rPr>
          <w:rFonts w:eastAsia="Times New Roman" w:cs="Arial"/>
          <w:color w:val="auto"/>
          <w:lang w:eastAsia="en-GB"/>
        </w:rPr>
        <w:t xml:space="preserve">daptations </w:t>
      </w:r>
      <w:r w:rsidR="00D61388">
        <w:rPr>
          <w:rFonts w:eastAsia="Times New Roman" w:cs="Arial"/>
          <w:color w:val="auto"/>
          <w:lang w:eastAsia="en-GB"/>
        </w:rPr>
        <w:t>and</w:t>
      </w:r>
      <w:r w:rsidRPr="00527DBC">
        <w:rPr>
          <w:rFonts w:eastAsia="Times New Roman" w:cs="Arial"/>
          <w:color w:val="auto"/>
          <w:lang w:eastAsia="en-GB"/>
        </w:rPr>
        <w:t xml:space="preserve"> </w:t>
      </w:r>
      <w:r w:rsidR="00D61388">
        <w:rPr>
          <w:rFonts w:eastAsia="Times New Roman" w:cs="Arial"/>
          <w:color w:val="auto"/>
          <w:lang w:eastAsia="en-GB"/>
        </w:rPr>
        <w:t>c</w:t>
      </w:r>
      <w:r w:rsidRPr="00527DBC">
        <w:rPr>
          <w:rFonts w:eastAsia="Times New Roman" w:cs="Arial"/>
          <w:color w:val="auto"/>
          <w:lang w:eastAsia="en-GB"/>
        </w:rPr>
        <w:t xml:space="preserve">ommunity </w:t>
      </w:r>
      <w:r w:rsidR="00D61388">
        <w:rPr>
          <w:rFonts w:eastAsia="Times New Roman" w:cs="Arial"/>
          <w:color w:val="auto"/>
          <w:lang w:eastAsia="en-GB"/>
        </w:rPr>
        <w:t>e</w:t>
      </w:r>
      <w:r w:rsidRPr="00527DBC">
        <w:rPr>
          <w:rFonts w:eastAsia="Times New Roman" w:cs="Arial"/>
          <w:color w:val="auto"/>
          <w:lang w:eastAsia="en-GB"/>
        </w:rPr>
        <w:t>quipment spend, Lancashire Break Time and Traded Service income. </w:t>
      </w:r>
    </w:p>
    <w:p w14:paraId="11FCB04B" w14:textId="77777777" w:rsidR="00527DBC" w:rsidRPr="00527DBC" w:rsidRDefault="00162F2E" w:rsidP="00527DBC">
      <w:pPr>
        <w:autoSpaceDE/>
        <w:autoSpaceDN/>
        <w:adjustRightInd/>
        <w:spacing w:after="0"/>
        <w:ind w:left="855" w:hanging="855"/>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2603DF13" w14:textId="77777777" w:rsidR="00527DBC" w:rsidRPr="00527DBC" w:rsidRDefault="00162F2E" w:rsidP="00527DBC">
      <w:pPr>
        <w:autoSpaceDE/>
        <w:autoSpaceDN/>
        <w:adjustRightInd/>
        <w:spacing w:after="0"/>
        <w:ind w:left="855" w:hanging="855"/>
        <w:textAlignment w:val="baseline"/>
        <w:rPr>
          <w:rFonts w:ascii="Segoe UI" w:eastAsia="Times New Roman" w:hAnsi="Segoe UI" w:cs="Segoe UI"/>
          <w:color w:val="auto"/>
          <w:sz w:val="18"/>
          <w:szCs w:val="18"/>
          <w:lang w:eastAsia="en-GB"/>
        </w:rPr>
      </w:pPr>
      <w:r w:rsidRPr="00527DBC">
        <w:rPr>
          <w:rFonts w:eastAsia="Times New Roman" w:cs="Arial"/>
          <w:b/>
          <w:bCs/>
          <w:color w:val="auto"/>
          <w:lang w:eastAsia="en-GB"/>
        </w:rPr>
        <w:t>Cultural Services</w:t>
      </w:r>
      <w:r w:rsidRPr="00527DBC">
        <w:rPr>
          <w:rFonts w:eastAsia="Times New Roman" w:cs="Arial"/>
          <w:b/>
          <w:bCs/>
          <w:color w:val="auto"/>
          <w:sz w:val="20"/>
          <w:szCs w:val="20"/>
          <w:lang w:eastAsia="en-GB"/>
        </w:rPr>
        <w:t xml:space="preserve"> </w:t>
      </w:r>
      <w:r w:rsidRPr="00527DBC">
        <w:rPr>
          <w:rFonts w:eastAsia="Times New Roman" w:cs="Arial"/>
          <w:b/>
          <w:bCs/>
          <w:color w:val="auto"/>
          <w:lang w:eastAsia="en-GB"/>
        </w:rPr>
        <w:t>– Underspend £376,000</w:t>
      </w:r>
      <w:r w:rsidRPr="00527DBC">
        <w:rPr>
          <w:rFonts w:eastAsia="Times New Roman" w:cs="Arial"/>
          <w:color w:val="auto"/>
          <w:lang w:eastAsia="en-GB"/>
        </w:rPr>
        <w:t> </w:t>
      </w:r>
    </w:p>
    <w:p w14:paraId="7D91ADB8" w14:textId="77777777" w:rsidR="00527DBC" w:rsidRPr="00527DBC" w:rsidRDefault="00162F2E" w:rsidP="00527DBC">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58C27988" w14:textId="77777777" w:rsidR="00527DBC" w:rsidRPr="00527DBC" w:rsidRDefault="00162F2E" w:rsidP="00527DBC">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Underspends within the Libraries, Museums</w:t>
      </w:r>
      <w:r w:rsidRPr="00527DBC">
        <w:rPr>
          <w:rFonts w:eastAsia="Times New Roman" w:cs="Arial"/>
          <w:color w:val="D13438"/>
          <w:u w:val="single"/>
          <w:lang w:eastAsia="en-GB"/>
        </w:rPr>
        <w:t xml:space="preserve"> </w:t>
      </w:r>
      <w:r w:rsidRPr="00527DBC">
        <w:rPr>
          <w:rFonts w:eastAsia="Times New Roman" w:cs="Arial"/>
          <w:color w:val="auto"/>
          <w:lang w:eastAsia="en-GB"/>
        </w:rPr>
        <w:t>and Conservation Services of c£250,000 relate to both staff and non-staff costs and are largely due to the closure of some sites in the early part of the financial year as a result of the pandemic.   </w:t>
      </w:r>
    </w:p>
    <w:p w14:paraId="37BD42D4" w14:textId="77777777" w:rsidR="00527DBC" w:rsidRPr="00527DBC" w:rsidRDefault="00162F2E" w:rsidP="00527DBC">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72B9927C" w14:textId="77777777" w:rsidR="00527DBC" w:rsidRPr="00527DBC" w:rsidRDefault="00162F2E" w:rsidP="00527DBC">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Underspends of c£120,000 are across other service areas relate to further underspends on staff and non-staff costs offset with losses of income due to the pandemic. </w:t>
      </w:r>
    </w:p>
    <w:p w14:paraId="54358639" w14:textId="77777777" w:rsidR="00527DBC" w:rsidRPr="00527DBC" w:rsidRDefault="00162F2E" w:rsidP="00E91265">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r w:rsidRPr="00527DBC">
        <w:rPr>
          <w:rFonts w:eastAsia="Times New Roman" w:cs="Arial"/>
          <w:color w:val="FF0000"/>
          <w:lang w:eastAsia="en-GB"/>
        </w:rPr>
        <w:t> </w:t>
      </w:r>
    </w:p>
    <w:p w14:paraId="246B1732" w14:textId="77777777" w:rsidR="00527DBC" w:rsidRPr="00527DBC" w:rsidRDefault="00162F2E" w:rsidP="00527DBC">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b/>
          <w:bCs/>
          <w:color w:val="auto"/>
          <w:u w:val="single"/>
          <w:lang w:eastAsia="en-GB"/>
        </w:rPr>
        <w:t xml:space="preserve">Education and Children's Services – </w:t>
      </w:r>
      <w:r w:rsidR="00AA0991">
        <w:rPr>
          <w:rFonts w:eastAsia="Times New Roman" w:cs="Arial"/>
          <w:b/>
          <w:bCs/>
          <w:color w:val="auto"/>
          <w:u w:val="single"/>
          <w:lang w:eastAsia="en-GB"/>
        </w:rPr>
        <w:t>Ove</w:t>
      </w:r>
      <w:r w:rsidRPr="00527DBC">
        <w:rPr>
          <w:rFonts w:eastAsia="Times New Roman" w:cs="Arial"/>
          <w:b/>
          <w:bCs/>
          <w:color w:val="auto"/>
          <w:u w:val="single"/>
          <w:lang w:eastAsia="en-GB"/>
        </w:rPr>
        <w:t>rspend £</w:t>
      </w:r>
      <w:r w:rsidR="00AA0991">
        <w:rPr>
          <w:rFonts w:eastAsia="Times New Roman" w:cs="Arial"/>
          <w:b/>
          <w:bCs/>
          <w:color w:val="auto"/>
          <w:u w:val="single"/>
          <w:lang w:eastAsia="en-GB"/>
        </w:rPr>
        <w:t>856</w:t>
      </w:r>
      <w:r w:rsidR="0077327B">
        <w:rPr>
          <w:rFonts w:eastAsia="Times New Roman" w:cs="Arial"/>
          <w:b/>
          <w:bCs/>
          <w:color w:val="auto"/>
          <w:u w:val="single"/>
          <w:lang w:eastAsia="en-GB"/>
        </w:rPr>
        <w:t>,000</w:t>
      </w:r>
      <w:r w:rsidRPr="00527DBC">
        <w:rPr>
          <w:rFonts w:eastAsia="Times New Roman" w:cs="Arial"/>
          <w:color w:val="auto"/>
          <w:lang w:eastAsia="en-GB"/>
        </w:rPr>
        <w:t> </w:t>
      </w:r>
    </w:p>
    <w:p w14:paraId="3B658E83" w14:textId="77777777" w:rsidR="00527DBC" w:rsidRPr="00527DBC" w:rsidRDefault="00162F2E" w:rsidP="00527DBC">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color w:val="FF0000"/>
          <w:lang w:eastAsia="en-GB"/>
        </w:rPr>
        <w:t> </w:t>
      </w:r>
    </w:p>
    <w:p w14:paraId="42191E04" w14:textId="77777777" w:rsidR="00527DBC" w:rsidRPr="00527DBC" w:rsidRDefault="00162F2E" w:rsidP="00527DBC">
      <w:pPr>
        <w:autoSpaceDE/>
        <w:autoSpaceDN/>
        <w:adjustRightInd/>
        <w:spacing w:after="0"/>
        <w:ind w:left="855" w:hanging="855"/>
        <w:textAlignment w:val="baseline"/>
        <w:rPr>
          <w:rFonts w:ascii="Segoe UI" w:eastAsia="Times New Roman" w:hAnsi="Segoe UI" w:cs="Segoe UI"/>
          <w:color w:val="auto"/>
          <w:sz w:val="18"/>
          <w:szCs w:val="18"/>
          <w:lang w:eastAsia="en-GB"/>
        </w:rPr>
      </w:pPr>
      <w:r w:rsidRPr="00527DBC">
        <w:rPr>
          <w:rFonts w:eastAsia="Times New Roman" w:cs="Arial"/>
          <w:b/>
          <w:bCs/>
          <w:color w:val="auto"/>
          <w:lang w:eastAsia="en-GB"/>
        </w:rPr>
        <w:t>Safeguarding, Inspection &amp; Audit – Underspend £1.141m</w:t>
      </w:r>
      <w:r w:rsidRPr="00527DBC">
        <w:rPr>
          <w:rFonts w:eastAsia="Times New Roman" w:cs="Arial"/>
          <w:color w:val="auto"/>
          <w:lang w:eastAsia="en-GB"/>
        </w:rPr>
        <w:t> </w:t>
      </w:r>
    </w:p>
    <w:p w14:paraId="58A164E8" w14:textId="77777777" w:rsidR="00527DBC" w:rsidRPr="00527DBC" w:rsidRDefault="00162F2E" w:rsidP="00527DBC">
      <w:pPr>
        <w:autoSpaceDE/>
        <w:autoSpaceDN/>
        <w:adjustRightInd/>
        <w:spacing w:after="0"/>
        <w:ind w:left="855" w:hanging="855"/>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p>
    <w:p w14:paraId="42A8EFDF" w14:textId="77777777" w:rsidR="00527DBC" w:rsidRPr="00527DBC" w:rsidRDefault="00162F2E" w:rsidP="00527DBC">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Underspends of c£856,000 relate to staff costs due to vacancies, c£278,000 to non-staff costs (travel and third-party payments) across a number of areas within the service, and the remaining underspend to over recovery of income. </w:t>
      </w:r>
    </w:p>
    <w:p w14:paraId="660724D0" w14:textId="77777777" w:rsidR="009047FD" w:rsidRDefault="009047FD" w:rsidP="00527DBC">
      <w:pPr>
        <w:autoSpaceDE/>
        <w:autoSpaceDN/>
        <w:adjustRightInd/>
        <w:spacing w:after="0"/>
        <w:textAlignment w:val="baseline"/>
        <w:rPr>
          <w:rFonts w:eastAsia="Times New Roman" w:cs="Arial"/>
          <w:color w:val="auto"/>
          <w:lang w:eastAsia="en-GB"/>
        </w:rPr>
      </w:pPr>
    </w:p>
    <w:p w14:paraId="3B1C217F" w14:textId="77777777" w:rsidR="009047FD" w:rsidRPr="000A3C2B" w:rsidRDefault="00162F2E" w:rsidP="009047FD">
      <w:pPr>
        <w:tabs>
          <w:tab w:val="left" w:pos="851"/>
          <w:tab w:val="left" w:pos="1418"/>
        </w:tabs>
        <w:spacing w:after="0"/>
        <w:contextualSpacing/>
        <w:rPr>
          <w:rFonts w:cs="Arial"/>
          <w:b/>
        </w:rPr>
      </w:pPr>
      <w:r w:rsidRPr="000A3C2B">
        <w:rPr>
          <w:rFonts w:cs="Arial"/>
          <w:b/>
        </w:rPr>
        <w:t xml:space="preserve">Policy, Information and Commissioning Start Well – </w:t>
      </w:r>
      <w:r>
        <w:rPr>
          <w:rFonts w:cs="Arial"/>
          <w:b/>
        </w:rPr>
        <w:t>Ove</w:t>
      </w:r>
      <w:r w:rsidRPr="000A3C2B">
        <w:rPr>
          <w:rFonts w:cs="Arial"/>
          <w:b/>
        </w:rPr>
        <w:t>rspend £</w:t>
      </w:r>
      <w:r>
        <w:rPr>
          <w:rFonts w:cs="Arial"/>
          <w:b/>
        </w:rPr>
        <w:t>3.004m</w:t>
      </w:r>
    </w:p>
    <w:p w14:paraId="413DC81F" w14:textId="77777777" w:rsidR="009047FD" w:rsidRDefault="009047FD" w:rsidP="009047FD">
      <w:pPr>
        <w:tabs>
          <w:tab w:val="left" w:pos="851"/>
          <w:tab w:val="left" w:pos="1418"/>
        </w:tabs>
        <w:spacing w:after="0"/>
        <w:contextualSpacing/>
        <w:rPr>
          <w:rFonts w:cs="Arial"/>
          <w:b/>
          <w:color w:val="FF0000"/>
        </w:rPr>
      </w:pPr>
    </w:p>
    <w:p w14:paraId="7A3335EF" w14:textId="77777777" w:rsidR="009047FD" w:rsidRDefault="00162F2E" w:rsidP="009047FD">
      <w:pPr>
        <w:spacing w:after="0"/>
        <w:contextualSpacing/>
        <w:rPr>
          <w:rFonts w:cs="Arial"/>
        </w:rPr>
      </w:pPr>
      <w:r>
        <w:rPr>
          <w:rFonts w:cs="Arial"/>
        </w:rPr>
        <w:t xml:space="preserve">Overspends and the change in the position compared to that reported at quarter 3 relate to a transfer to reserves to cover the cost of the replacing the Education Management System in 2023/24. </w:t>
      </w:r>
    </w:p>
    <w:p w14:paraId="19A90883" w14:textId="77777777" w:rsidR="00527DBC" w:rsidRPr="00527DBC" w:rsidRDefault="00162F2E" w:rsidP="00527DBC">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color w:val="auto"/>
          <w:lang w:eastAsia="en-GB"/>
        </w:rPr>
        <w:t> </w:t>
      </w:r>
      <w:r w:rsidRPr="00527DBC">
        <w:rPr>
          <w:rFonts w:eastAsia="Times New Roman" w:cs="Arial"/>
          <w:color w:val="FF0000"/>
          <w:lang w:eastAsia="en-GB"/>
        </w:rPr>
        <w:t> </w:t>
      </w:r>
    </w:p>
    <w:p w14:paraId="04B858A5" w14:textId="77777777" w:rsidR="00527DBC" w:rsidRPr="00527DBC" w:rsidRDefault="00162F2E" w:rsidP="00527DBC">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b/>
          <w:bCs/>
          <w:color w:val="auto"/>
          <w:lang w:eastAsia="en-GB"/>
        </w:rPr>
        <w:t>Education and Children's Services Central Costs – Underspend £1.006m</w:t>
      </w:r>
      <w:r w:rsidRPr="00527DBC">
        <w:rPr>
          <w:rFonts w:eastAsia="Times New Roman" w:cs="Arial"/>
          <w:color w:val="auto"/>
          <w:lang w:eastAsia="en-GB"/>
        </w:rPr>
        <w:t> </w:t>
      </w:r>
    </w:p>
    <w:p w14:paraId="2F2D5742" w14:textId="77777777" w:rsidR="00527DBC" w:rsidRPr="00527DBC" w:rsidRDefault="00162F2E" w:rsidP="00527DBC">
      <w:pPr>
        <w:autoSpaceDE/>
        <w:autoSpaceDN/>
        <w:adjustRightInd/>
        <w:spacing w:after="0"/>
        <w:textAlignment w:val="baseline"/>
        <w:rPr>
          <w:rFonts w:ascii="Segoe UI" w:eastAsia="Times New Roman" w:hAnsi="Segoe UI" w:cs="Segoe UI"/>
          <w:color w:val="auto"/>
          <w:sz w:val="18"/>
          <w:szCs w:val="18"/>
          <w:lang w:eastAsia="en-GB"/>
        </w:rPr>
      </w:pPr>
      <w:r w:rsidRPr="00527DBC">
        <w:rPr>
          <w:rFonts w:eastAsia="Times New Roman" w:cs="Arial"/>
          <w:color w:val="FF0000"/>
          <w:lang w:eastAsia="en-GB"/>
        </w:rPr>
        <w:t> </w:t>
      </w:r>
    </w:p>
    <w:p w14:paraId="3FEE0294" w14:textId="6F9A406E" w:rsidR="00B61F72" w:rsidRPr="00642D26" w:rsidRDefault="00162F2E" w:rsidP="00E74E1C">
      <w:pPr>
        <w:autoSpaceDE/>
        <w:autoSpaceDN/>
        <w:adjustRightInd/>
        <w:spacing w:after="0"/>
        <w:textAlignment w:val="baseline"/>
        <w:rPr>
          <w:rFonts w:eastAsia="Times New Roman" w:cs="Arial"/>
          <w:color w:val="auto"/>
          <w:lang w:eastAsia="en-GB"/>
        </w:rPr>
      </w:pPr>
      <w:r w:rsidRPr="00527DBC">
        <w:rPr>
          <w:rFonts w:eastAsia="Times New Roman" w:cs="Arial"/>
          <w:color w:val="auto"/>
          <w:lang w:eastAsia="en-GB"/>
        </w:rPr>
        <w:t>Underspends relate to Premature Retirement Costs (PRC).   The position has improved by c£400,000 compared to quarter 3 based on low levels of PRC activity in the latter part of the yea</w:t>
      </w:r>
      <w:r w:rsidR="00E74E1C">
        <w:rPr>
          <w:rFonts w:eastAsia="Times New Roman" w:cs="Arial"/>
          <w:color w:val="auto"/>
          <w:lang w:eastAsia="en-GB"/>
        </w:rPr>
        <w:t>r.</w:t>
      </w:r>
    </w:p>
    <w:p w14:paraId="28E5B997" w14:textId="77777777" w:rsidR="00BE4BE9" w:rsidRPr="00812801" w:rsidRDefault="00BE4BE9" w:rsidP="00D10794">
      <w:pPr>
        <w:spacing w:after="0"/>
        <w:rPr>
          <w:rFonts w:cs="Arial"/>
          <w:highlight w:val="yellow"/>
        </w:rPr>
      </w:pPr>
    </w:p>
    <w:p w14:paraId="100D96D2" w14:textId="77777777" w:rsidR="00D10794" w:rsidRPr="00E74E1C" w:rsidRDefault="00162F2E" w:rsidP="00D10794">
      <w:pPr>
        <w:spacing w:after="0"/>
        <w:rPr>
          <w:rFonts w:cs="Arial"/>
          <w:b/>
        </w:rPr>
      </w:pPr>
      <w:r w:rsidRPr="00E74E1C">
        <w:rPr>
          <w:rFonts w:eastAsia="Times New Roman" w:cs="Arial"/>
          <w:b/>
          <w:lang w:eastAsia="en-GB"/>
        </w:rPr>
        <w:t>3.5</w:t>
      </w:r>
      <w:r>
        <w:tab/>
      </w:r>
      <w:r w:rsidRPr="00E74E1C">
        <w:rPr>
          <w:rFonts w:cs="Arial"/>
          <w:b/>
        </w:rPr>
        <w:t>Growth, Environment and Planning</w:t>
      </w:r>
    </w:p>
    <w:p w14:paraId="745FBC45" w14:textId="77777777" w:rsidR="00E74E1C" w:rsidRPr="00E74E1C" w:rsidRDefault="00E74E1C" w:rsidP="00D10794">
      <w:pPr>
        <w:spacing w:after="0"/>
        <w:rPr>
          <w:rFonts w:cs="Arial"/>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3"/>
        <w:gridCol w:w="1045"/>
        <w:gridCol w:w="956"/>
        <w:gridCol w:w="986"/>
        <w:gridCol w:w="986"/>
        <w:gridCol w:w="971"/>
        <w:gridCol w:w="1191"/>
      </w:tblGrid>
      <w:tr w:rsidR="006E5B54" w14:paraId="6FD934D6" w14:textId="77777777" w:rsidTr="009D263F">
        <w:trPr>
          <w:trHeight w:val="585"/>
        </w:trPr>
        <w:tc>
          <w:tcPr>
            <w:tcW w:w="3360" w:type="dxa"/>
            <w:tcBorders>
              <w:top w:val="single" w:sz="6" w:space="0" w:color="auto"/>
              <w:left w:val="single" w:sz="6" w:space="0" w:color="auto"/>
              <w:bottom w:val="nil"/>
              <w:right w:val="single" w:sz="6" w:space="0" w:color="auto"/>
            </w:tcBorders>
            <w:shd w:val="clear" w:color="auto" w:fill="D9D9D9"/>
            <w:vAlign w:val="center"/>
            <w:hideMark/>
          </w:tcPr>
          <w:p w14:paraId="17C695EF"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Growth, Environment &amp; Planning</w:t>
            </w:r>
            <w:r w:rsidRPr="00E74E1C">
              <w:rPr>
                <w:rFonts w:eastAsia="Times New Roman" w:cs="Arial"/>
                <w:sz w:val="20"/>
                <w:szCs w:val="20"/>
                <w:lang w:eastAsia="en-GB"/>
              </w:rPr>
              <w:t> </w:t>
            </w:r>
          </w:p>
        </w:tc>
        <w:tc>
          <w:tcPr>
            <w:tcW w:w="1140" w:type="dxa"/>
            <w:tcBorders>
              <w:top w:val="single" w:sz="6" w:space="0" w:color="auto"/>
              <w:left w:val="nil"/>
              <w:bottom w:val="nil"/>
              <w:right w:val="single" w:sz="6" w:space="0" w:color="auto"/>
            </w:tcBorders>
            <w:shd w:val="clear" w:color="auto" w:fill="D9D9D9"/>
            <w:vAlign w:val="center"/>
            <w:hideMark/>
          </w:tcPr>
          <w:p w14:paraId="3872B6D5"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Approved Net Budget </w:t>
            </w:r>
            <w:r w:rsidRPr="00E74E1C">
              <w:rPr>
                <w:rFonts w:eastAsia="Times New Roman" w:cs="Arial"/>
                <w:sz w:val="20"/>
                <w:szCs w:val="20"/>
                <w:lang w:eastAsia="en-GB"/>
              </w:rPr>
              <w:t> </w:t>
            </w:r>
          </w:p>
        </w:tc>
        <w:tc>
          <w:tcPr>
            <w:tcW w:w="1050" w:type="dxa"/>
            <w:tcBorders>
              <w:top w:val="single" w:sz="6" w:space="0" w:color="auto"/>
              <w:left w:val="nil"/>
              <w:bottom w:val="nil"/>
              <w:right w:val="single" w:sz="6" w:space="0" w:color="auto"/>
            </w:tcBorders>
            <w:shd w:val="clear" w:color="auto" w:fill="D9D9D9"/>
            <w:vAlign w:val="center"/>
            <w:hideMark/>
          </w:tcPr>
          <w:p w14:paraId="23DCEE62"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Net Outturn </w:t>
            </w:r>
            <w:r w:rsidRPr="00E74E1C">
              <w:rPr>
                <w:rFonts w:eastAsia="Times New Roman" w:cs="Arial"/>
                <w:sz w:val="20"/>
                <w:szCs w:val="20"/>
                <w:lang w:eastAsia="en-GB"/>
              </w:rPr>
              <w:t> </w:t>
            </w:r>
          </w:p>
        </w:tc>
        <w:tc>
          <w:tcPr>
            <w:tcW w:w="1065" w:type="dxa"/>
            <w:tcBorders>
              <w:top w:val="single" w:sz="6" w:space="0" w:color="auto"/>
              <w:left w:val="nil"/>
              <w:bottom w:val="nil"/>
              <w:right w:val="single" w:sz="6" w:space="0" w:color="auto"/>
            </w:tcBorders>
            <w:shd w:val="clear" w:color="auto" w:fill="D9D9D9"/>
            <w:vAlign w:val="center"/>
            <w:hideMark/>
          </w:tcPr>
          <w:p w14:paraId="6DB1F9BE"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Net Outturn Variance</w:t>
            </w:r>
            <w:r w:rsidRPr="00E74E1C">
              <w:rPr>
                <w:rFonts w:eastAsia="Times New Roman" w:cs="Arial"/>
                <w:sz w:val="20"/>
                <w:szCs w:val="20"/>
                <w:lang w:eastAsia="en-GB"/>
              </w:rPr>
              <w:t> </w:t>
            </w:r>
          </w:p>
        </w:tc>
        <w:tc>
          <w:tcPr>
            <w:tcW w:w="1065" w:type="dxa"/>
            <w:tcBorders>
              <w:top w:val="single" w:sz="6" w:space="0" w:color="auto"/>
              <w:left w:val="nil"/>
              <w:bottom w:val="nil"/>
              <w:right w:val="single" w:sz="6" w:space="0" w:color="auto"/>
            </w:tcBorders>
            <w:shd w:val="clear" w:color="auto" w:fill="D9D9D9"/>
            <w:vAlign w:val="center"/>
            <w:hideMark/>
          </w:tcPr>
          <w:p w14:paraId="5FC6ED8D"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Net Outturn Variance</w:t>
            </w:r>
            <w:r w:rsidRPr="00E74E1C">
              <w:rPr>
                <w:rFonts w:eastAsia="Times New Roman" w:cs="Arial"/>
                <w:sz w:val="20"/>
                <w:szCs w:val="20"/>
                <w:lang w:eastAsia="en-GB"/>
              </w:rPr>
              <w:t> </w:t>
            </w:r>
          </w:p>
        </w:tc>
        <w:tc>
          <w:tcPr>
            <w:tcW w:w="1035" w:type="dxa"/>
            <w:tcBorders>
              <w:top w:val="single" w:sz="6" w:space="0" w:color="auto"/>
              <w:left w:val="nil"/>
              <w:bottom w:val="nil"/>
              <w:right w:val="single" w:sz="6" w:space="0" w:color="auto"/>
            </w:tcBorders>
            <w:shd w:val="clear" w:color="auto" w:fill="D9D9D9"/>
            <w:vAlign w:val="center"/>
            <w:hideMark/>
          </w:tcPr>
          <w:p w14:paraId="6D941A0E"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color w:val="auto"/>
                <w:sz w:val="20"/>
                <w:szCs w:val="20"/>
                <w:lang w:eastAsia="en-GB"/>
              </w:rPr>
              <w:t>Q3 Variance</w:t>
            </w:r>
            <w:r w:rsidRPr="00E74E1C">
              <w:rPr>
                <w:rFonts w:eastAsia="Times New Roman" w:cs="Arial"/>
                <w:color w:val="auto"/>
                <w:sz w:val="20"/>
                <w:szCs w:val="20"/>
                <w:lang w:eastAsia="en-GB"/>
              </w:rPr>
              <w:t> </w:t>
            </w:r>
          </w:p>
        </w:tc>
        <w:tc>
          <w:tcPr>
            <w:tcW w:w="1320" w:type="dxa"/>
            <w:tcBorders>
              <w:top w:val="single" w:sz="6" w:space="0" w:color="auto"/>
              <w:left w:val="single" w:sz="6" w:space="0" w:color="auto"/>
              <w:bottom w:val="nil"/>
              <w:right w:val="single" w:sz="6" w:space="0" w:color="auto"/>
            </w:tcBorders>
            <w:shd w:val="clear" w:color="auto" w:fill="D9D9D9"/>
            <w:vAlign w:val="center"/>
            <w:hideMark/>
          </w:tcPr>
          <w:p w14:paraId="65B87123"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color w:val="auto"/>
                <w:sz w:val="20"/>
                <w:szCs w:val="20"/>
                <w:lang w:eastAsia="en-GB"/>
              </w:rPr>
              <w:t>Movement</w:t>
            </w:r>
            <w:r w:rsidRPr="00E74E1C">
              <w:rPr>
                <w:rFonts w:eastAsia="Times New Roman" w:cs="Arial"/>
                <w:color w:val="auto"/>
                <w:sz w:val="20"/>
                <w:szCs w:val="20"/>
                <w:lang w:eastAsia="en-GB"/>
              </w:rPr>
              <w:t> </w:t>
            </w:r>
            <w:r w:rsidRPr="00E74E1C">
              <w:rPr>
                <w:rFonts w:eastAsia="Times New Roman" w:cs="Arial"/>
                <w:color w:val="auto"/>
                <w:sz w:val="20"/>
                <w:szCs w:val="20"/>
                <w:lang w:eastAsia="en-GB"/>
              </w:rPr>
              <w:br/>
            </w:r>
            <w:r w:rsidRPr="00E74E1C">
              <w:rPr>
                <w:rFonts w:eastAsia="Times New Roman" w:cs="Arial"/>
                <w:b/>
                <w:bCs/>
                <w:color w:val="auto"/>
                <w:sz w:val="20"/>
                <w:szCs w:val="20"/>
                <w:lang w:eastAsia="en-GB"/>
              </w:rPr>
              <w:t>From Q3</w:t>
            </w:r>
            <w:r w:rsidRPr="00E74E1C">
              <w:rPr>
                <w:rFonts w:eastAsia="Times New Roman" w:cs="Arial"/>
                <w:color w:val="auto"/>
                <w:sz w:val="20"/>
                <w:szCs w:val="20"/>
                <w:lang w:eastAsia="en-GB"/>
              </w:rPr>
              <w:t> </w:t>
            </w:r>
          </w:p>
        </w:tc>
      </w:tr>
      <w:tr w:rsidR="006E5B54" w14:paraId="664014B3" w14:textId="77777777" w:rsidTr="00E74E1C">
        <w:trPr>
          <w:trHeight w:val="225"/>
        </w:trPr>
        <w:tc>
          <w:tcPr>
            <w:tcW w:w="3360" w:type="dxa"/>
            <w:tcBorders>
              <w:top w:val="nil"/>
              <w:left w:val="single" w:sz="6" w:space="0" w:color="auto"/>
              <w:bottom w:val="single" w:sz="6" w:space="0" w:color="auto"/>
              <w:right w:val="single" w:sz="6" w:space="0" w:color="auto"/>
            </w:tcBorders>
            <w:shd w:val="clear" w:color="auto" w:fill="D9D9D9"/>
            <w:vAlign w:val="center"/>
            <w:hideMark/>
          </w:tcPr>
          <w:p w14:paraId="7ACCEFDF"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 </w:t>
            </w:r>
            <w:r w:rsidRPr="00E74E1C">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231B4137"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£m</w:t>
            </w:r>
            <w:r w:rsidRPr="00E74E1C">
              <w:rPr>
                <w:rFonts w:eastAsia="Times New Roman" w:cs="Arial"/>
                <w:sz w:val="20"/>
                <w:szCs w:val="20"/>
                <w:lang w:eastAsia="en-GB"/>
              </w:rPr>
              <w:t> </w:t>
            </w:r>
          </w:p>
        </w:tc>
        <w:tc>
          <w:tcPr>
            <w:tcW w:w="1050" w:type="dxa"/>
            <w:tcBorders>
              <w:top w:val="nil"/>
              <w:left w:val="nil"/>
              <w:bottom w:val="single" w:sz="6" w:space="0" w:color="auto"/>
              <w:right w:val="single" w:sz="6" w:space="0" w:color="auto"/>
            </w:tcBorders>
            <w:shd w:val="clear" w:color="auto" w:fill="D9D9D9"/>
            <w:vAlign w:val="center"/>
            <w:hideMark/>
          </w:tcPr>
          <w:p w14:paraId="67A1908D"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£m</w:t>
            </w:r>
            <w:r w:rsidRPr="00E74E1C">
              <w:rPr>
                <w:rFonts w:eastAsia="Times New Roman" w:cs="Arial"/>
                <w:sz w:val="20"/>
                <w:szCs w:val="20"/>
                <w:lang w:eastAsia="en-GB"/>
              </w:rPr>
              <w:t> </w:t>
            </w:r>
          </w:p>
        </w:tc>
        <w:tc>
          <w:tcPr>
            <w:tcW w:w="1065" w:type="dxa"/>
            <w:tcBorders>
              <w:top w:val="nil"/>
              <w:left w:val="nil"/>
              <w:bottom w:val="single" w:sz="6" w:space="0" w:color="auto"/>
              <w:right w:val="single" w:sz="6" w:space="0" w:color="auto"/>
            </w:tcBorders>
            <w:shd w:val="clear" w:color="auto" w:fill="D9D9D9"/>
            <w:vAlign w:val="center"/>
            <w:hideMark/>
          </w:tcPr>
          <w:p w14:paraId="3C336C8E"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£m</w:t>
            </w:r>
            <w:r w:rsidRPr="00E74E1C">
              <w:rPr>
                <w:rFonts w:eastAsia="Times New Roman" w:cs="Arial"/>
                <w:sz w:val="20"/>
                <w:szCs w:val="20"/>
                <w:lang w:eastAsia="en-GB"/>
              </w:rPr>
              <w:t> </w:t>
            </w:r>
          </w:p>
        </w:tc>
        <w:tc>
          <w:tcPr>
            <w:tcW w:w="1065" w:type="dxa"/>
            <w:tcBorders>
              <w:top w:val="nil"/>
              <w:left w:val="nil"/>
              <w:bottom w:val="single" w:sz="6" w:space="0" w:color="auto"/>
              <w:right w:val="single" w:sz="6" w:space="0" w:color="auto"/>
            </w:tcBorders>
            <w:shd w:val="clear" w:color="auto" w:fill="D9D9D9"/>
            <w:vAlign w:val="center"/>
            <w:hideMark/>
          </w:tcPr>
          <w:p w14:paraId="1BD85CAE"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w:t>
            </w:r>
            <w:r w:rsidRPr="00E74E1C">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56683190"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color w:val="auto"/>
                <w:sz w:val="20"/>
                <w:szCs w:val="20"/>
                <w:lang w:eastAsia="en-GB"/>
              </w:rPr>
              <w:t>£m</w:t>
            </w:r>
            <w:r w:rsidRPr="00E74E1C">
              <w:rPr>
                <w:rFonts w:eastAsia="Times New Roman" w:cs="Arial"/>
                <w:color w:val="auto"/>
                <w:sz w:val="20"/>
                <w:szCs w:val="20"/>
                <w:lang w:eastAsia="en-GB"/>
              </w:rPr>
              <w:t> </w:t>
            </w:r>
          </w:p>
        </w:tc>
        <w:tc>
          <w:tcPr>
            <w:tcW w:w="1320" w:type="dxa"/>
            <w:tcBorders>
              <w:top w:val="nil"/>
              <w:left w:val="single" w:sz="6" w:space="0" w:color="auto"/>
              <w:bottom w:val="single" w:sz="6" w:space="0" w:color="auto"/>
              <w:right w:val="single" w:sz="6" w:space="0" w:color="auto"/>
            </w:tcBorders>
            <w:shd w:val="clear" w:color="auto" w:fill="D9D9D9"/>
            <w:vAlign w:val="center"/>
            <w:hideMark/>
          </w:tcPr>
          <w:p w14:paraId="76423D8C" w14:textId="77777777" w:rsidR="00E74E1C" w:rsidRPr="00E74E1C" w:rsidRDefault="00162F2E" w:rsidP="00E74E1C">
            <w:pPr>
              <w:autoSpaceDE/>
              <w:autoSpaceDN/>
              <w:adjustRightInd/>
              <w:spacing w:after="0"/>
              <w:jc w:val="center"/>
              <w:textAlignment w:val="baseline"/>
              <w:rPr>
                <w:rFonts w:ascii="Times New Roman" w:eastAsia="Times New Roman" w:hAnsi="Times New Roman" w:cs="Times New Roman"/>
                <w:color w:val="auto"/>
                <w:lang w:eastAsia="en-GB"/>
              </w:rPr>
            </w:pPr>
            <w:r w:rsidRPr="00E74E1C">
              <w:rPr>
                <w:rFonts w:eastAsia="Times New Roman" w:cs="Arial"/>
                <w:b/>
                <w:bCs/>
                <w:color w:val="auto"/>
                <w:sz w:val="20"/>
                <w:szCs w:val="20"/>
                <w:lang w:eastAsia="en-GB"/>
              </w:rPr>
              <w:t>£m</w:t>
            </w:r>
            <w:r w:rsidRPr="00E74E1C">
              <w:rPr>
                <w:rFonts w:eastAsia="Times New Roman" w:cs="Arial"/>
                <w:color w:val="auto"/>
                <w:sz w:val="20"/>
                <w:szCs w:val="20"/>
                <w:lang w:eastAsia="en-GB"/>
              </w:rPr>
              <w:t> </w:t>
            </w:r>
          </w:p>
        </w:tc>
      </w:tr>
      <w:tr w:rsidR="006E5B54" w14:paraId="681A47C7" w14:textId="77777777" w:rsidTr="00E74E1C">
        <w:trPr>
          <w:trHeight w:val="225"/>
        </w:trPr>
        <w:tc>
          <w:tcPr>
            <w:tcW w:w="3360" w:type="dxa"/>
            <w:tcBorders>
              <w:top w:val="nil"/>
              <w:left w:val="single" w:sz="6" w:space="0" w:color="auto"/>
              <w:bottom w:val="single" w:sz="6" w:space="0" w:color="auto"/>
              <w:right w:val="single" w:sz="6" w:space="0" w:color="auto"/>
            </w:tcBorders>
            <w:shd w:val="clear" w:color="auto" w:fill="D9D9D9"/>
            <w:vAlign w:val="center"/>
            <w:hideMark/>
          </w:tcPr>
          <w:p w14:paraId="43670625" w14:textId="77777777" w:rsidR="00E74E1C" w:rsidRPr="00E74E1C" w:rsidRDefault="00162F2E" w:rsidP="00E74E1C">
            <w:pPr>
              <w:autoSpaceDE/>
              <w:autoSpaceDN/>
              <w:adjustRightInd/>
              <w:spacing w:after="0"/>
              <w:jc w:val="lef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LEP Coordination</w:t>
            </w:r>
            <w:r w:rsidRPr="00E74E1C">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6263A197"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0.090 </w:t>
            </w:r>
          </w:p>
        </w:tc>
        <w:tc>
          <w:tcPr>
            <w:tcW w:w="1050" w:type="dxa"/>
            <w:tcBorders>
              <w:top w:val="nil"/>
              <w:left w:val="nil"/>
              <w:bottom w:val="single" w:sz="6" w:space="0" w:color="auto"/>
              <w:right w:val="single" w:sz="6" w:space="0" w:color="auto"/>
            </w:tcBorders>
            <w:shd w:val="clear" w:color="auto" w:fill="auto"/>
            <w:vAlign w:val="center"/>
            <w:hideMark/>
          </w:tcPr>
          <w:p w14:paraId="233B0A21"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0.083 </w:t>
            </w:r>
          </w:p>
        </w:tc>
        <w:tc>
          <w:tcPr>
            <w:tcW w:w="1065" w:type="dxa"/>
            <w:tcBorders>
              <w:top w:val="nil"/>
              <w:left w:val="nil"/>
              <w:bottom w:val="single" w:sz="6" w:space="0" w:color="auto"/>
              <w:right w:val="single" w:sz="6" w:space="0" w:color="auto"/>
            </w:tcBorders>
            <w:shd w:val="clear" w:color="auto" w:fill="D9D9D9"/>
            <w:vAlign w:val="center"/>
            <w:hideMark/>
          </w:tcPr>
          <w:p w14:paraId="2B005986"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-0.007 </w:t>
            </w:r>
          </w:p>
        </w:tc>
        <w:tc>
          <w:tcPr>
            <w:tcW w:w="1065" w:type="dxa"/>
            <w:tcBorders>
              <w:top w:val="nil"/>
              <w:left w:val="nil"/>
              <w:bottom w:val="single" w:sz="6" w:space="0" w:color="auto"/>
              <w:right w:val="single" w:sz="6" w:space="0" w:color="auto"/>
            </w:tcBorders>
            <w:shd w:val="clear" w:color="auto" w:fill="auto"/>
            <w:vAlign w:val="center"/>
            <w:hideMark/>
          </w:tcPr>
          <w:p w14:paraId="477732BC"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-7.78% </w:t>
            </w:r>
          </w:p>
        </w:tc>
        <w:tc>
          <w:tcPr>
            <w:tcW w:w="1035" w:type="dxa"/>
            <w:tcBorders>
              <w:top w:val="nil"/>
              <w:left w:val="nil"/>
              <w:bottom w:val="single" w:sz="6" w:space="0" w:color="auto"/>
              <w:right w:val="single" w:sz="6" w:space="0" w:color="auto"/>
            </w:tcBorders>
            <w:shd w:val="clear" w:color="auto" w:fill="D9D9D9"/>
            <w:vAlign w:val="center"/>
            <w:hideMark/>
          </w:tcPr>
          <w:p w14:paraId="42E233F5"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-0.001 </w:t>
            </w:r>
          </w:p>
        </w:tc>
        <w:tc>
          <w:tcPr>
            <w:tcW w:w="1320" w:type="dxa"/>
            <w:tcBorders>
              <w:top w:val="nil"/>
              <w:left w:val="single" w:sz="6" w:space="0" w:color="auto"/>
              <w:bottom w:val="single" w:sz="6" w:space="0" w:color="auto"/>
              <w:right w:val="single" w:sz="6" w:space="0" w:color="auto"/>
            </w:tcBorders>
            <w:shd w:val="clear" w:color="auto" w:fill="auto"/>
            <w:vAlign w:val="center"/>
            <w:hideMark/>
          </w:tcPr>
          <w:p w14:paraId="7AF019CA"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-0.006 </w:t>
            </w:r>
          </w:p>
        </w:tc>
      </w:tr>
      <w:tr w:rsidR="006E5B54" w14:paraId="720A2513" w14:textId="77777777" w:rsidTr="00E74E1C">
        <w:trPr>
          <w:trHeight w:val="225"/>
        </w:trPr>
        <w:tc>
          <w:tcPr>
            <w:tcW w:w="3360" w:type="dxa"/>
            <w:tcBorders>
              <w:top w:val="nil"/>
              <w:left w:val="single" w:sz="6" w:space="0" w:color="auto"/>
              <w:bottom w:val="single" w:sz="6" w:space="0" w:color="auto"/>
              <w:right w:val="single" w:sz="6" w:space="0" w:color="auto"/>
            </w:tcBorders>
            <w:shd w:val="clear" w:color="auto" w:fill="D9D9D9"/>
            <w:vAlign w:val="center"/>
            <w:hideMark/>
          </w:tcPr>
          <w:p w14:paraId="53407EA0" w14:textId="77777777" w:rsidR="00E74E1C" w:rsidRPr="00E74E1C" w:rsidRDefault="00162F2E" w:rsidP="00E74E1C">
            <w:pPr>
              <w:autoSpaceDE/>
              <w:autoSpaceDN/>
              <w:adjustRightInd/>
              <w:spacing w:after="0"/>
              <w:jc w:val="lef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Business Growth</w:t>
            </w:r>
            <w:r w:rsidRPr="00E74E1C">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6C469817"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1.416 </w:t>
            </w:r>
          </w:p>
        </w:tc>
        <w:tc>
          <w:tcPr>
            <w:tcW w:w="1050" w:type="dxa"/>
            <w:tcBorders>
              <w:top w:val="nil"/>
              <w:left w:val="nil"/>
              <w:bottom w:val="single" w:sz="6" w:space="0" w:color="auto"/>
              <w:right w:val="single" w:sz="6" w:space="0" w:color="auto"/>
            </w:tcBorders>
            <w:shd w:val="clear" w:color="auto" w:fill="auto"/>
            <w:vAlign w:val="center"/>
            <w:hideMark/>
          </w:tcPr>
          <w:p w14:paraId="6B458DA2"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1.472 </w:t>
            </w:r>
          </w:p>
        </w:tc>
        <w:tc>
          <w:tcPr>
            <w:tcW w:w="1065" w:type="dxa"/>
            <w:tcBorders>
              <w:top w:val="nil"/>
              <w:left w:val="nil"/>
              <w:bottom w:val="single" w:sz="6" w:space="0" w:color="auto"/>
              <w:right w:val="single" w:sz="6" w:space="0" w:color="auto"/>
            </w:tcBorders>
            <w:shd w:val="clear" w:color="auto" w:fill="D9D9D9"/>
            <w:vAlign w:val="center"/>
            <w:hideMark/>
          </w:tcPr>
          <w:p w14:paraId="6657739D"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0.056 </w:t>
            </w:r>
          </w:p>
        </w:tc>
        <w:tc>
          <w:tcPr>
            <w:tcW w:w="1065" w:type="dxa"/>
            <w:tcBorders>
              <w:top w:val="nil"/>
              <w:left w:val="nil"/>
              <w:bottom w:val="single" w:sz="6" w:space="0" w:color="auto"/>
              <w:right w:val="single" w:sz="6" w:space="0" w:color="auto"/>
            </w:tcBorders>
            <w:shd w:val="clear" w:color="auto" w:fill="auto"/>
            <w:vAlign w:val="center"/>
            <w:hideMark/>
          </w:tcPr>
          <w:p w14:paraId="43FB404D"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3.95% </w:t>
            </w:r>
          </w:p>
        </w:tc>
        <w:tc>
          <w:tcPr>
            <w:tcW w:w="1035" w:type="dxa"/>
            <w:tcBorders>
              <w:top w:val="nil"/>
              <w:left w:val="nil"/>
              <w:bottom w:val="single" w:sz="6" w:space="0" w:color="auto"/>
              <w:right w:val="single" w:sz="6" w:space="0" w:color="auto"/>
            </w:tcBorders>
            <w:shd w:val="clear" w:color="auto" w:fill="D9D9D9"/>
            <w:vAlign w:val="center"/>
            <w:hideMark/>
          </w:tcPr>
          <w:p w14:paraId="18DEA3E4"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0.019 </w:t>
            </w:r>
          </w:p>
        </w:tc>
        <w:tc>
          <w:tcPr>
            <w:tcW w:w="1320" w:type="dxa"/>
            <w:tcBorders>
              <w:top w:val="nil"/>
              <w:left w:val="single" w:sz="6" w:space="0" w:color="auto"/>
              <w:bottom w:val="single" w:sz="6" w:space="0" w:color="auto"/>
              <w:right w:val="single" w:sz="6" w:space="0" w:color="auto"/>
            </w:tcBorders>
            <w:shd w:val="clear" w:color="auto" w:fill="auto"/>
            <w:vAlign w:val="center"/>
            <w:hideMark/>
          </w:tcPr>
          <w:p w14:paraId="3042141B"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0.037 </w:t>
            </w:r>
          </w:p>
        </w:tc>
      </w:tr>
      <w:tr w:rsidR="006E5B54" w14:paraId="7B3B044E" w14:textId="77777777" w:rsidTr="00E74E1C">
        <w:trPr>
          <w:trHeight w:val="225"/>
        </w:trPr>
        <w:tc>
          <w:tcPr>
            <w:tcW w:w="3360" w:type="dxa"/>
            <w:tcBorders>
              <w:top w:val="nil"/>
              <w:left w:val="single" w:sz="6" w:space="0" w:color="auto"/>
              <w:bottom w:val="single" w:sz="6" w:space="0" w:color="auto"/>
              <w:right w:val="single" w:sz="6" w:space="0" w:color="auto"/>
            </w:tcBorders>
            <w:shd w:val="clear" w:color="auto" w:fill="D9D9D9"/>
            <w:vAlign w:val="center"/>
            <w:hideMark/>
          </w:tcPr>
          <w:p w14:paraId="0A3D3EDE" w14:textId="77777777" w:rsidR="00E74E1C" w:rsidRPr="00E74E1C" w:rsidRDefault="00162F2E" w:rsidP="00E74E1C">
            <w:pPr>
              <w:autoSpaceDE/>
              <w:autoSpaceDN/>
              <w:adjustRightInd/>
              <w:spacing w:after="0"/>
              <w:jc w:val="lef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Planning and Environment</w:t>
            </w:r>
            <w:r w:rsidRPr="00E74E1C">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6AA192F4"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2.837 </w:t>
            </w:r>
          </w:p>
        </w:tc>
        <w:tc>
          <w:tcPr>
            <w:tcW w:w="1050" w:type="dxa"/>
            <w:tcBorders>
              <w:top w:val="nil"/>
              <w:left w:val="nil"/>
              <w:bottom w:val="single" w:sz="6" w:space="0" w:color="auto"/>
              <w:right w:val="single" w:sz="6" w:space="0" w:color="auto"/>
            </w:tcBorders>
            <w:shd w:val="clear" w:color="auto" w:fill="auto"/>
            <w:vAlign w:val="center"/>
            <w:hideMark/>
          </w:tcPr>
          <w:p w14:paraId="538F7F58"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2.604 </w:t>
            </w:r>
          </w:p>
        </w:tc>
        <w:tc>
          <w:tcPr>
            <w:tcW w:w="1065" w:type="dxa"/>
            <w:tcBorders>
              <w:top w:val="nil"/>
              <w:left w:val="nil"/>
              <w:bottom w:val="single" w:sz="6" w:space="0" w:color="auto"/>
              <w:right w:val="single" w:sz="6" w:space="0" w:color="auto"/>
            </w:tcBorders>
            <w:shd w:val="clear" w:color="auto" w:fill="D9D9D9"/>
            <w:vAlign w:val="center"/>
            <w:hideMark/>
          </w:tcPr>
          <w:p w14:paraId="4315319A"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-0.233 </w:t>
            </w:r>
          </w:p>
        </w:tc>
        <w:tc>
          <w:tcPr>
            <w:tcW w:w="1065" w:type="dxa"/>
            <w:tcBorders>
              <w:top w:val="nil"/>
              <w:left w:val="nil"/>
              <w:bottom w:val="single" w:sz="6" w:space="0" w:color="auto"/>
              <w:right w:val="single" w:sz="6" w:space="0" w:color="auto"/>
            </w:tcBorders>
            <w:shd w:val="clear" w:color="auto" w:fill="auto"/>
            <w:vAlign w:val="center"/>
            <w:hideMark/>
          </w:tcPr>
          <w:p w14:paraId="1F1CCA99"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-8.21% </w:t>
            </w:r>
          </w:p>
        </w:tc>
        <w:tc>
          <w:tcPr>
            <w:tcW w:w="1035" w:type="dxa"/>
            <w:tcBorders>
              <w:top w:val="nil"/>
              <w:left w:val="nil"/>
              <w:bottom w:val="single" w:sz="6" w:space="0" w:color="auto"/>
              <w:right w:val="single" w:sz="6" w:space="0" w:color="auto"/>
            </w:tcBorders>
            <w:shd w:val="clear" w:color="auto" w:fill="D9D9D9"/>
            <w:vAlign w:val="center"/>
            <w:hideMark/>
          </w:tcPr>
          <w:p w14:paraId="2E950768"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-0.024 </w:t>
            </w:r>
          </w:p>
        </w:tc>
        <w:tc>
          <w:tcPr>
            <w:tcW w:w="1320" w:type="dxa"/>
            <w:tcBorders>
              <w:top w:val="nil"/>
              <w:left w:val="single" w:sz="6" w:space="0" w:color="auto"/>
              <w:bottom w:val="single" w:sz="6" w:space="0" w:color="auto"/>
              <w:right w:val="single" w:sz="6" w:space="0" w:color="auto"/>
            </w:tcBorders>
            <w:shd w:val="clear" w:color="auto" w:fill="auto"/>
            <w:vAlign w:val="center"/>
            <w:hideMark/>
          </w:tcPr>
          <w:p w14:paraId="2649E09F"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-0.209 </w:t>
            </w:r>
          </w:p>
        </w:tc>
      </w:tr>
      <w:tr w:rsidR="006E5B54" w14:paraId="589E2264" w14:textId="77777777" w:rsidTr="00E74E1C">
        <w:trPr>
          <w:trHeight w:val="225"/>
        </w:trPr>
        <w:tc>
          <w:tcPr>
            <w:tcW w:w="3360" w:type="dxa"/>
            <w:tcBorders>
              <w:top w:val="nil"/>
              <w:left w:val="single" w:sz="6" w:space="0" w:color="auto"/>
              <w:bottom w:val="single" w:sz="6" w:space="0" w:color="auto"/>
              <w:right w:val="single" w:sz="6" w:space="0" w:color="auto"/>
            </w:tcBorders>
            <w:shd w:val="clear" w:color="auto" w:fill="D9D9D9"/>
            <w:vAlign w:val="center"/>
            <w:hideMark/>
          </w:tcPr>
          <w:p w14:paraId="22212EA8" w14:textId="77777777" w:rsidR="00E74E1C" w:rsidRPr="00E74E1C" w:rsidRDefault="00162F2E" w:rsidP="00E74E1C">
            <w:pPr>
              <w:autoSpaceDE/>
              <w:autoSpaceDN/>
              <w:adjustRightInd/>
              <w:spacing w:after="0"/>
              <w:jc w:val="lef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Estates</w:t>
            </w:r>
            <w:r w:rsidRPr="00E74E1C">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6E07A27E"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0.479 </w:t>
            </w:r>
          </w:p>
        </w:tc>
        <w:tc>
          <w:tcPr>
            <w:tcW w:w="1050" w:type="dxa"/>
            <w:tcBorders>
              <w:top w:val="nil"/>
              <w:left w:val="nil"/>
              <w:bottom w:val="single" w:sz="6" w:space="0" w:color="auto"/>
              <w:right w:val="single" w:sz="6" w:space="0" w:color="auto"/>
            </w:tcBorders>
            <w:shd w:val="clear" w:color="auto" w:fill="auto"/>
            <w:vAlign w:val="center"/>
            <w:hideMark/>
          </w:tcPr>
          <w:p w14:paraId="35F1B635"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0.502 </w:t>
            </w:r>
          </w:p>
        </w:tc>
        <w:tc>
          <w:tcPr>
            <w:tcW w:w="1065" w:type="dxa"/>
            <w:tcBorders>
              <w:top w:val="nil"/>
              <w:left w:val="nil"/>
              <w:bottom w:val="single" w:sz="6" w:space="0" w:color="auto"/>
              <w:right w:val="single" w:sz="6" w:space="0" w:color="auto"/>
            </w:tcBorders>
            <w:shd w:val="clear" w:color="auto" w:fill="D9D9D9"/>
            <w:vAlign w:val="center"/>
            <w:hideMark/>
          </w:tcPr>
          <w:p w14:paraId="14E7E19A"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0.023 </w:t>
            </w:r>
          </w:p>
        </w:tc>
        <w:tc>
          <w:tcPr>
            <w:tcW w:w="1065" w:type="dxa"/>
            <w:tcBorders>
              <w:top w:val="nil"/>
              <w:left w:val="nil"/>
              <w:bottom w:val="single" w:sz="6" w:space="0" w:color="auto"/>
              <w:right w:val="single" w:sz="6" w:space="0" w:color="auto"/>
            </w:tcBorders>
            <w:shd w:val="clear" w:color="auto" w:fill="auto"/>
            <w:vAlign w:val="center"/>
            <w:hideMark/>
          </w:tcPr>
          <w:p w14:paraId="1EC69C53"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4.80% </w:t>
            </w:r>
          </w:p>
        </w:tc>
        <w:tc>
          <w:tcPr>
            <w:tcW w:w="1035" w:type="dxa"/>
            <w:tcBorders>
              <w:top w:val="nil"/>
              <w:left w:val="nil"/>
              <w:bottom w:val="single" w:sz="6" w:space="0" w:color="auto"/>
              <w:right w:val="single" w:sz="6" w:space="0" w:color="auto"/>
            </w:tcBorders>
            <w:shd w:val="clear" w:color="auto" w:fill="D9D9D9"/>
            <w:vAlign w:val="center"/>
            <w:hideMark/>
          </w:tcPr>
          <w:p w14:paraId="4467EBA7"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0.054 </w:t>
            </w:r>
          </w:p>
        </w:tc>
        <w:tc>
          <w:tcPr>
            <w:tcW w:w="1320" w:type="dxa"/>
            <w:tcBorders>
              <w:top w:val="nil"/>
              <w:left w:val="single" w:sz="6" w:space="0" w:color="auto"/>
              <w:bottom w:val="single" w:sz="6" w:space="0" w:color="auto"/>
              <w:right w:val="single" w:sz="6" w:space="0" w:color="auto"/>
            </w:tcBorders>
            <w:shd w:val="clear" w:color="auto" w:fill="auto"/>
            <w:vAlign w:val="center"/>
            <w:hideMark/>
          </w:tcPr>
          <w:p w14:paraId="61C834CA"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-0.031 </w:t>
            </w:r>
          </w:p>
        </w:tc>
      </w:tr>
      <w:tr w:rsidR="006E5B54" w14:paraId="18E94F2C" w14:textId="77777777" w:rsidTr="00E74E1C">
        <w:trPr>
          <w:trHeight w:val="225"/>
        </w:trPr>
        <w:tc>
          <w:tcPr>
            <w:tcW w:w="3360" w:type="dxa"/>
            <w:tcBorders>
              <w:top w:val="nil"/>
              <w:left w:val="single" w:sz="6" w:space="0" w:color="auto"/>
              <w:bottom w:val="single" w:sz="6" w:space="0" w:color="auto"/>
              <w:right w:val="single" w:sz="6" w:space="0" w:color="auto"/>
            </w:tcBorders>
            <w:shd w:val="clear" w:color="auto" w:fill="D9D9D9"/>
            <w:vAlign w:val="center"/>
            <w:hideMark/>
          </w:tcPr>
          <w:p w14:paraId="459A3D94" w14:textId="77777777" w:rsidR="00E74E1C" w:rsidRPr="00E74E1C" w:rsidRDefault="00162F2E" w:rsidP="00E74E1C">
            <w:pPr>
              <w:autoSpaceDE/>
              <w:autoSpaceDN/>
              <w:adjustRightInd/>
              <w:spacing w:after="0"/>
              <w:jc w:val="lef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Strategic Development</w:t>
            </w:r>
            <w:r w:rsidRPr="00E74E1C">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49393C25"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1.887 </w:t>
            </w:r>
          </w:p>
        </w:tc>
        <w:tc>
          <w:tcPr>
            <w:tcW w:w="1050" w:type="dxa"/>
            <w:tcBorders>
              <w:top w:val="nil"/>
              <w:left w:val="nil"/>
              <w:bottom w:val="single" w:sz="6" w:space="0" w:color="auto"/>
              <w:right w:val="single" w:sz="6" w:space="0" w:color="auto"/>
            </w:tcBorders>
            <w:shd w:val="clear" w:color="auto" w:fill="auto"/>
            <w:vAlign w:val="center"/>
            <w:hideMark/>
          </w:tcPr>
          <w:p w14:paraId="33C52811"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0.943 </w:t>
            </w:r>
          </w:p>
        </w:tc>
        <w:tc>
          <w:tcPr>
            <w:tcW w:w="1065" w:type="dxa"/>
            <w:tcBorders>
              <w:top w:val="nil"/>
              <w:left w:val="nil"/>
              <w:bottom w:val="single" w:sz="6" w:space="0" w:color="auto"/>
              <w:right w:val="single" w:sz="6" w:space="0" w:color="auto"/>
            </w:tcBorders>
            <w:shd w:val="clear" w:color="auto" w:fill="D9D9D9"/>
            <w:vAlign w:val="center"/>
            <w:hideMark/>
          </w:tcPr>
          <w:p w14:paraId="2D9ED8BD"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-0.944 </w:t>
            </w:r>
          </w:p>
        </w:tc>
        <w:tc>
          <w:tcPr>
            <w:tcW w:w="1065" w:type="dxa"/>
            <w:tcBorders>
              <w:top w:val="nil"/>
              <w:left w:val="nil"/>
              <w:bottom w:val="single" w:sz="6" w:space="0" w:color="auto"/>
              <w:right w:val="single" w:sz="6" w:space="0" w:color="auto"/>
            </w:tcBorders>
            <w:shd w:val="clear" w:color="auto" w:fill="auto"/>
            <w:vAlign w:val="center"/>
            <w:hideMark/>
          </w:tcPr>
          <w:p w14:paraId="41ED85DB"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-50.03% </w:t>
            </w:r>
          </w:p>
        </w:tc>
        <w:tc>
          <w:tcPr>
            <w:tcW w:w="1035" w:type="dxa"/>
            <w:tcBorders>
              <w:top w:val="nil"/>
              <w:left w:val="nil"/>
              <w:bottom w:val="single" w:sz="6" w:space="0" w:color="auto"/>
              <w:right w:val="single" w:sz="6" w:space="0" w:color="auto"/>
            </w:tcBorders>
            <w:shd w:val="clear" w:color="auto" w:fill="D9D9D9"/>
            <w:vAlign w:val="center"/>
            <w:hideMark/>
          </w:tcPr>
          <w:p w14:paraId="5034E911"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-0.948 </w:t>
            </w:r>
          </w:p>
        </w:tc>
        <w:tc>
          <w:tcPr>
            <w:tcW w:w="1320" w:type="dxa"/>
            <w:tcBorders>
              <w:top w:val="nil"/>
              <w:left w:val="single" w:sz="6" w:space="0" w:color="auto"/>
              <w:bottom w:val="single" w:sz="6" w:space="0" w:color="auto"/>
              <w:right w:val="single" w:sz="6" w:space="0" w:color="auto"/>
            </w:tcBorders>
            <w:shd w:val="clear" w:color="auto" w:fill="auto"/>
            <w:vAlign w:val="center"/>
            <w:hideMark/>
          </w:tcPr>
          <w:p w14:paraId="18DE0818"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0.004 </w:t>
            </w:r>
          </w:p>
        </w:tc>
      </w:tr>
      <w:tr w:rsidR="006E5B54" w14:paraId="2F50C2DF" w14:textId="77777777" w:rsidTr="00E74E1C">
        <w:trPr>
          <w:trHeight w:val="225"/>
        </w:trPr>
        <w:tc>
          <w:tcPr>
            <w:tcW w:w="3360" w:type="dxa"/>
            <w:tcBorders>
              <w:top w:val="nil"/>
              <w:left w:val="single" w:sz="6" w:space="0" w:color="auto"/>
              <w:bottom w:val="single" w:sz="6" w:space="0" w:color="auto"/>
              <w:right w:val="single" w:sz="6" w:space="0" w:color="auto"/>
            </w:tcBorders>
            <w:shd w:val="clear" w:color="auto" w:fill="D9D9D9"/>
            <w:vAlign w:val="center"/>
            <w:hideMark/>
          </w:tcPr>
          <w:p w14:paraId="498F0547" w14:textId="77777777" w:rsidR="00E74E1C" w:rsidRPr="00E74E1C" w:rsidRDefault="00162F2E" w:rsidP="00E74E1C">
            <w:pPr>
              <w:autoSpaceDE/>
              <w:autoSpaceDN/>
              <w:adjustRightInd/>
              <w:spacing w:after="0"/>
              <w:jc w:val="lef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Total</w:t>
            </w:r>
            <w:r w:rsidRPr="00E74E1C">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0ECA5AC6"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6.709</w:t>
            </w:r>
            <w:r w:rsidRPr="00E74E1C">
              <w:rPr>
                <w:rFonts w:eastAsia="Times New Roman" w:cs="Arial"/>
                <w:sz w:val="20"/>
                <w:szCs w:val="20"/>
                <w:lang w:eastAsia="en-GB"/>
              </w:rPr>
              <w:t> </w:t>
            </w:r>
          </w:p>
        </w:tc>
        <w:tc>
          <w:tcPr>
            <w:tcW w:w="1050" w:type="dxa"/>
            <w:tcBorders>
              <w:top w:val="nil"/>
              <w:left w:val="nil"/>
              <w:bottom w:val="single" w:sz="6" w:space="0" w:color="auto"/>
              <w:right w:val="single" w:sz="6" w:space="0" w:color="auto"/>
            </w:tcBorders>
            <w:shd w:val="clear" w:color="auto" w:fill="D9D9D9"/>
            <w:vAlign w:val="center"/>
            <w:hideMark/>
          </w:tcPr>
          <w:p w14:paraId="04091994"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5.604</w:t>
            </w:r>
            <w:r w:rsidRPr="00E74E1C">
              <w:rPr>
                <w:rFonts w:eastAsia="Times New Roman" w:cs="Arial"/>
                <w:sz w:val="20"/>
                <w:szCs w:val="20"/>
                <w:lang w:eastAsia="en-GB"/>
              </w:rPr>
              <w:t> </w:t>
            </w:r>
          </w:p>
        </w:tc>
        <w:tc>
          <w:tcPr>
            <w:tcW w:w="1065" w:type="dxa"/>
            <w:tcBorders>
              <w:top w:val="nil"/>
              <w:left w:val="nil"/>
              <w:bottom w:val="single" w:sz="6" w:space="0" w:color="auto"/>
              <w:right w:val="single" w:sz="6" w:space="0" w:color="auto"/>
            </w:tcBorders>
            <w:shd w:val="clear" w:color="auto" w:fill="D9D9D9"/>
            <w:vAlign w:val="center"/>
            <w:hideMark/>
          </w:tcPr>
          <w:p w14:paraId="6C26E65B"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-1.105</w:t>
            </w:r>
            <w:r w:rsidRPr="00E74E1C">
              <w:rPr>
                <w:rFonts w:eastAsia="Times New Roman" w:cs="Arial"/>
                <w:sz w:val="20"/>
                <w:szCs w:val="20"/>
                <w:lang w:eastAsia="en-GB"/>
              </w:rPr>
              <w:t> </w:t>
            </w:r>
          </w:p>
        </w:tc>
        <w:tc>
          <w:tcPr>
            <w:tcW w:w="1065" w:type="dxa"/>
            <w:tcBorders>
              <w:top w:val="nil"/>
              <w:left w:val="nil"/>
              <w:bottom w:val="single" w:sz="6" w:space="0" w:color="auto"/>
              <w:right w:val="single" w:sz="6" w:space="0" w:color="auto"/>
            </w:tcBorders>
            <w:shd w:val="clear" w:color="auto" w:fill="D9D9D9"/>
            <w:vAlign w:val="center"/>
            <w:hideMark/>
          </w:tcPr>
          <w:p w14:paraId="2B60159D"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-16.47%</w:t>
            </w:r>
            <w:r w:rsidRPr="00E74E1C">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2029F8E3"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color w:val="auto"/>
                <w:sz w:val="20"/>
                <w:szCs w:val="20"/>
                <w:lang w:eastAsia="en-GB"/>
              </w:rPr>
              <w:t>-0.900</w:t>
            </w:r>
            <w:r w:rsidRPr="00E74E1C">
              <w:rPr>
                <w:rFonts w:eastAsia="Times New Roman" w:cs="Arial"/>
                <w:color w:val="auto"/>
                <w:sz w:val="20"/>
                <w:szCs w:val="20"/>
                <w:lang w:eastAsia="en-GB"/>
              </w:rPr>
              <w:t> </w:t>
            </w:r>
          </w:p>
        </w:tc>
        <w:tc>
          <w:tcPr>
            <w:tcW w:w="1320" w:type="dxa"/>
            <w:tcBorders>
              <w:top w:val="nil"/>
              <w:left w:val="single" w:sz="6" w:space="0" w:color="auto"/>
              <w:bottom w:val="single" w:sz="6" w:space="0" w:color="auto"/>
              <w:right w:val="single" w:sz="6" w:space="0" w:color="auto"/>
            </w:tcBorders>
            <w:shd w:val="clear" w:color="auto" w:fill="D9D9D9"/>
            <w:vAlign w:val="center"/>
            <w:hideMark/>
          </w:tcPr>
          <w:p w14:paraId="053DCF92"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color w:val="auto"/>
                <w:sz w:val="20"/>
                <w:szCs w:val="20"/>
                <w:lang w:eastAsia="en-GB"/>
              </w:rPr>
              <w:t>-0.205</w:t>
            </w:r>
            <w:r w:rsidRPr="00E74E1C">
              <w:rPr>
                <w:rFonts w:eastAsia="Times New Roman" w:cs="Arial"/>
                <w:color w:val="auto"/>
                <w:sz w:val="20"/>
                <w:szCs w:val="20"/>
                <w:lang w:eastAsia="en-GB"/>
              </w:rPr>
              <w:t> </w:t>
            </w:r>
          </w:p>
        </w:tc>
      </w:tr>
      <w:tr w:rsidR="006E5B54" w14:paraId="4A93F720" w14:textId="77777777" w:rsidTr="00E74E1C">
        <w:trPr>
          <w:trHeight w:val="390"/>
        </w:trPr>
        <w:tc>
          <w:tcPr>
            <w:tcW w:w="3360" w:type="dxa"/>
            <w:tcBorders>
              <w:top w:val="nil"/>
              <w:left w:val="single" w:sz="6" w:space="0" w:color="auto"/>
              <w:bottom w:val="single" w:sz="6" w:space="0" w:color="auto"/>
              <w:right w:val="single" w:sz="6" w:space="0" w:color="auto"/>
            </w:tcBorders>
            <w:shd w:val="clear" w:color="auto" w:fill="D9D9D9"/>
            <w:vAlign w:val="center"/>
            <w:hideMark/>
          </w:tcPr>
          <w:p w14:paraId="4850ACA5" w14:textId="77777777" w:rsidR="00E74E1C" w:rsidRPr="00E74E1C" w:rsidRDefault="00162F2E" w:rsidP="00E74E1C">
            <w:pPr>
              <w:autoSpaceDE/>
              <w:autoSpaceDN/>
              <w:adjustRightInd/>
              <w:spacing w:after="0"/>
              <w:jc w:val="lef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 xml:space="preserve">Share of unallocated </w:t>
            </w:r>
            <w:r w:rsidR="000B4881">
              <w:rPr>
                <w:rFonts w:eastAsia="Times New Roman" w:cs="Arial"/>
                <w:b/>
                <w:bCs/>
                <w:sz w:val="20"/>
                <w:szCs w:val="20"/>
                <w:lang w:eastAsia="en-GB"/>
              </w:rPr>
              <w:t>COVID</w:t>
            </w:r>
            <w:r w:rsidRPr="00E74E1C">
              <w:rPr>
                <w:rFonts w:eastAsia="Times New Roman" w:cs="Arial"/>
                <w:b/>
                <w:bCs/>
                <w:sz w:val="20"/>
                <w:szCs w:val="20"/>
                <w:lang w:eastAsia="en-GB"/>
              </w:rPr>
              <w:t>-19 emergency monies</w:t>
            </w:r>
            <w:r w:rsidRPr="00E74E1C">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59FC024B"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-0.010 </w:t>
            </w:r>
          </w:p>
        </w:tc>
        <w:tc>
          <w:tcPr>
            <w:tcW w:w="1050" w:type="dxa"/>
            <w:tcBorders>
              <w:top w:val="nil"/>
              <w:left w:val="nil"/>
              <w:bottom w:val="single" w:sz="6" w:space="0" w:color="auto"/>
              <w:right w:val="single" w:sz="6" w:space="0" w:color="auto"/>
            </w:tcBorders>
            <w:shd w:val="clear" w:color="auto" w:fill="auto"/>
            <w:vAlign w:val="center"/>
            <w:hideMark/>
          </w:tcPr>
          <w:p w14:paraId="33F0D49C"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0.000 </w:t>
            </w:r>
          </w:p>
        </w:tc>
        <w:tc>
          <w:tcPr>
            <w:tcW w:w="1065" w:type="dxa"/>
            <w:tcBorders>
              <w:top w:val="nil"/>
              <w:left w:val="nil"/>
              <w:bottom w:val="single" w:sz="6" w:space="0" w:color="auto"/>
              <w:right w:val="single" w:sz="6" w:space="0" w:color="auto"/>
            </w:tcBorders>
            <w:shd w:val="clear" w:color="auto" w:fill="D9D9D9"/>
            <w:vAlign w:val="center"/>
            <w:hideMark/>
          </w:tcPr>
          <w:p w14:paraId="39192496"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0.010 </w:t>
            </w:r>
          </w:p>
        </w:tc>
        <w:tc>
          <w:tcPr>
            <w:tcW w:w="1065" w:type="dxa"/>
            <w:tcBorders>
              <w:top w:val="nil"/>
              <w:left w:val="nil"/>
              <w:bottom w:val="single" w:sz="6" w:space="0" w:color="auto"/>
              <w:right w:val="single" w:sz="6" w:space="0" w:color="auto"/>
            </w:tcBorders>
            <w:shd w:val="clear" w:color="auto" w:fill="auto"/>
            <w:vAlign w:val="center"/>
            <w:hideMark/>
          </w:tcPr>
          <w:p w14:paraId="149D6603"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755F3A8F"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0.010 </w:t>
            </w:r>
          </w:p>
        </w:tc>
        <w:tc>
          <w:tcPr>
            <w:tcW w:w="1320" w:type="dxa"/>
            <w:tcBorders>
              <w:top w:val="nil"/>
              <w:left w:val="single" w:sz="6" w:space="0" w:color="auto"/>
              <w:bottom w:val="single" w:sz="6" w:space="0" w:color="auto"/>
              <w:right w:val="single" w:sz="6" w:space="0" w:color="auto"/>
            </w:tcBorders>
            <w:shd w:val="clear" w:color="auto" w:fill="auto"/>
            <w:vAlign w:val="center"/>
            <w:hideMark/>
          </w:tcPr>
          <w:p w14:paraId="61566600"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color w:val="auto"/>
                <w:sz w:val="20"/>
                <w:szCs w:val="20"/>
                <w:lang w:eastAsia="en-GB"/>
              </w:rPr>
              <w:t>0.000 </w:t>
            </w:r>
          </w:p>
        </w:tc>
      </w:tr>
      <w:tr w:rsidR="006E5B54" w14:paraId="2D731966" w14:textId="77777777" w:rsidTr="00E74E1C">
        <w:trPr>
          <w:trHeight w:val="225"/>
        </w:trPr>
        <w:tc>
          <w:tcPr>
            <w:tcW w:w="3360" w:type="dxa"/>
            <w:tcBorders>
              <w:top w:val="nil"/>
              <w:left w:val="single" w:sz="6" w:space="0" w:color="auto"/>
              <w:bottom w:val="single" w:sz="6" w:space="0" w:color="auto"/>
              <w:right w:val="single" w:sz="6" w:space="0" w:color="auto"/>
            </w:tcBorders>
            <w:shd w:val="clear" w:color="auto" w:fill="D9D9D9"/>
            <w:vAlign w:val="center"/>
            <w:hideMark/>
          </w:tcPr>
          <w:p w14:paraId="297C5A66" w14:textId="77777777" w:rsidR="00E74E1C" w:rsidRPr="00E74E1C" w:rsidRDefault="00162F2E" w:rsidP="00E74E1C">
            <w:pPr>
              <w:autoSpaceDE/>
              <w:autoSpaceDN/>
              <w:adjustRightInd/>
              <w:spacing w:after="0"/>
              <w:jc w:val="lef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Total Growth, Environment &amp; Planning</w:t>
            </w:r>
            <w:r w:rsidRPr="00E74E1C">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22A4B161"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6.699</w:t>
            </w:r>
            <w:r w:rsidRPr="00E74E1C">
              <w:rPr>
                <w:rFonts w:eastAsia="Times New Roman" w:cs="Arial"/>
                <w:sz w:val="20"/>
                <w:szCs w:val="20"/>
                <w:lang w:eastAsia="en-GB"/>
              </w:rPr>
              <w:t> </w:t>
            </w:r>
          </w:p>
        </w:tc>
        <w:tc>
          <w:tcPr>
            <w:tcW w:w="1050" w:type="dxa"/>
            <w:tcBorders>
              <w:top w:val="nil"/>
              <w:left w:val="nil"/>
              <w:bottom w:val="single" w:sz="6" w:space="0" w:color="auto"/>
              <w:right w:val="single" w:sz="6" w:space="0" w:color="auto"/>
            </w:tcBorders>
            <w:shd w:val="clear" w:color="auto" w:fill="D9D9D9"/>
            <w:vAlign w:val="center"/>
            <w:hideMark/>
          </w:tcPr>
          <w:p w14:paraId="2335A42A"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5.604</w:t>
            </w:r>
            <w:r w:rsidRPr="00E74E1C">
              <w:rPr>
                <w:rFonts w:eastAsia="Times New Roman" w:cs="Arial"/>
                <w:sz w:val="20"/>
                <w:szCs w:val="20"/>
                <w:lang w:eastAsia="en-GB"/>
              </w:rPr>
              <w:t> </w:t>
            </w:r>
          </w:p>
        </w:tc>
        <w:tc>
          <w:tcPr>
            <w:tcW w:w="1065" w:type="dxa"/>
            <w:tcBorders>
              <w:top w:val="nil"/>
              <w:left w:val="nil"/>
              <w:bottom w:val="single" w:sz="6" w:space="0" w:color="auto"/>
              <w:right w:val="single" w:sz="6" w:space="0" w:color="auto"/>
            </w:tcBorders>
            <w:shd w:val="clear" w:color="auto" w:fill="D9D9D9"/>
            <w:vAlign w:val="center"/>
            <w:hideMark/>
          </w:tcPr>
          <w:p w14:paraId="5BE7B580"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-1.095</w:t>
            </w:r>
            <w:r w:rsidRPr="00E74E1C">
              <w:rPr>
                <w:rFonts w:eastAsia="Times New Roman" w:cs="Arial"/>
                <w:sz w:val="20"/>
                <w:szCs w:val="20"/>
                <w:lang w:eastAsia="en-GB"/>
              </w:rPr>
              <w:t> </w:t>
            </w:r>
          </w:p>
        </w:tc>
        <w:tc>
          <w:tcPr>
            <w:tcW w:w="1065" w:type="dxa"/>
            <w:tcBorders>
              <w:top w:val="nil"/>
              <w:left w:val="nil"/>
              <w:bottom w:val="single" w:sz="6" w:space="0" w:color="auto"/>
              <w:right w:val="single" w:sz="6" w:space="0" w:color="auto"/>
            </w:tcBorders>
            <w:shd w:val="clear" w:color="auto" w:fill="D9D9D9"/>
            <w:vAlign w:val="center"/>
            <w:hideMark/>
          </w:tcPr>
          <w:p w14:paraId="632ACBF6"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sz w:val="20"/>
                <w:szCs w:val="20"/>
                <w:lang w:eastAsia="en-GB"/>
              </w:rPr>
              <w:t>-16.35%</w:t>
            </w:r>
            <w:r w:rsidRPr="00E74E1C">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7BDF7BBF"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color w:val="auto"/>
                <w:sz w:val="20"/>
                <w:szCs w:val="20"/>
                <w:lang w:eastAsia="en-GB"/>
              </w:rPr>
              <w:t>-0.890</w:t>
            </w:r>
            <w:r w:rsidRPr="00E74E1C">
              <w:rPr>
                <w:rFonts w:eastAsia="Times New Roman" w:cs="Arial"/>
                <w:color w:val="auto"/>
                <w:sz w:val="20"/>
                <w:szCs w:val="20"/>
                <w:lang w:eastAsia="en-GB"/>
              </w:rPr>
              <w:t> </w:t>
            </w:r>
          </w:p>
        </w:tc>
        <w:tc>
          <w:tcPr>
            <w:tcW w:w="1320" w:type="dxa"/>
            <w:tcBorders>
              <w:top w:val="nil"/>
              <w:left w:val="single" w:sz="6" w:space="0" w:color="auto"/>
              <w:bottom w:val="single" w:sz="6" w:space="0" w:color="auto"/>
              <w:right w:val="single" w:sz="6" w:space="0" w:color="auto"/>
            </w:tcBorders>
            <w:shd w:val="clear" w:color="auto" w:fill="D9D9D9"/>
            <w:vAlign w:val="center"/>
            <w:hideMark/>
          </w:tcPr>
          <w:p w14:paraId="479B575B" w14:textId="77777777" w:rsidR="00E74E1C" w:rsidRPr="00E74E1C" w:rsidRDefault="00162F2E" w:rsidP="00E74E1C">
            <w:pPr>
              <w:autoSpaceDE/>
              <w:autoSpaceDN/>
              <w:adjustRightInd/>
              <w:spacing w:after="0"/>
              <w:jc w:val="right"/>
              <w:textAlignment w:val="baseline"/>
              <w:rPr>
                <w:rFonts w:ascii="Times New Roman" w:eastAsia="Times New Roman" w:hAnsi="Times New Roman" w:cs="Times New Roman"/>
                <w:color w:val="auto"/>
                <w:lang w:eastAsia="en-GB"/>
              </w:rPr>
            </w:pPr>
            <w:r w:rsidRPr="00E74E1C">
              <w:rPr>
                <w:rFonts w:eastAsia="Times New Roman" w:cs="Arial"/>
                <w:b/>
                <w:bCs/>
                <w:color w:val="auto"/>
                <w:sz w:val="20"/>
                <w:szCs w:val="20"/>
                <w:lang w:eastAsia="en-GB"/>
              </w:rPr>
              <w:t>-0.205</w:t>
            </w:r>
            <w:r w:rsidRPr="00E74E1C">
              <w:rPr>
                <w:rFonts w:eastAsia="Times New Roman" w:cs="Arial"/>
                <w:color w:val="auto"/>
                <w:sz w:val="20"/>
                <w:szCs w:val="20"/>
                <w:lang w:eastAsia="en-GB"/>
              </w:rPr>
              <w:t> </w:t>
            </w:r>
          </w:p>
        </w:tc>
      </w:tr>
    </w:tbl>
    <w:p w14:paraId="33A221A4" w14:textId="77777777" w:rsidR="00E74E1C" w:rsidRPr="00E74E1C" w:rsidRDefault="00162F2E" w:rsidP="00E74E1C">
      <w:pPr>
        <w:autoSpaceDE/>
        <w:autoSpaceDN/>
        <w:adjustRightInd/>
        <w:spacing w:after="0"/>
        <w:textAlignment w:val="baseline"/>
        <w:rPr>
          <w:rFonts w:ascii="Segoe UI" w:eastAsia="Times New Roman" w:hAnsi="Segoe UI" w:cs="Segoe UI"/>
          <w:color w:val="auto"/>
          <w:sz w:val="18"/>
          <w:szCs w:val="18"/>
          <w:lang w:eastAsia="en-GB"/>
        </w:rPr>
      </w:pPr>
      <w:r w:rsidRPr="00E74E1C">
        <w:rPr>
          <w:rFonts w:eastAsia="Times New Roman" w:cs="Arial"/>
          <w:color w:val="auto"/>
          <w:lang w:eastAsia="en-GB"/>
        </w:rPr>
        <w:lastRenderedPageBreak/>
        <w:t> </w:t>
      </w:r>
    </w:p>
    <w:p w14:paraId="6DF16445" w14:textId="77777777" w:rsidR="00E74E1C" w:rsidRPr="00E74E1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E74E1C">
        <w:rPr>
          <w:rFonts w:eastAsia="Times New Roman" w:cs="Arial"/>
          <w:color w:val="auto"/>
          <w:lang w:eastAsia="en-GB"/>
        </w:rPr>
        <w:t>The total net approved budget for Growth, Environment and Planning in 2021/22 is £6.699m.  The service underspent by £1.095m in 2021/22. </w:t>
      </w:r>
    </w:p>
    <w:p w14:paraId="60A0A725" w14:textId="77777777" w:rsidR="00E74E1C" w:rsidRPr="00E74E1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E74E1C">
        <w:rPr>
          <w:rFonts w:eastAsia="Times New Roman" w:cs="Arial"/>
          <w:color w:val="auto"/>
          <w:lang w:eastAsia="en-GB"/>
        </w:rPr>
        <w:t>  </w:t>
      </w:r>
    </w:p>
    <w:p w14:paraId="0E392EDB" w14:textId="77777777" w:rsidR="00E74E1C" w:rsidRPr="00E74E1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E74E1C">
        <w:rPr>
          <w:rFonts w:eastAsia="Times New Roman" w:cs="Arial"/>
          <w:b/>
          <w:bCs/>
          <w:color w:val="auto"/>
          <w:lang w:eastAsia="en-GB"/>
        </w:rPr>
        <w:t>Planning and Environment – Underspend £233,000</w:t>
      </w:r>
      <w:r w:rsidRPr="00E74E1C">
        <w:rPr>
          <w:rFonts w:eastAsia="Times New Roman" w:cs="Arial"/>
          <w:color w:val="auto"/>
          <w:lang w:eastAsia="en-GB"/>
        </w:rPr>
        <w:t> </w:t>
      </w:r>
    </w:p>
    <w:p w14:paraId="42C73710" w14:textId="77777777" w:rsidR="00E74E1C" w:rsidRPr="00E74E1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E74E1C">
        <w:rPr>
          <w:rFonts w:eastAsia="Times New Roman" w:cs="Arial"/>
          <w:color w:val="auto"/>
          <w:lang w:eastAsia="en-GB"/>
        </w:rPr>
        <w:t> </w:t>
      </w:r>
    </w:p>
    <w:p w14:paraId="6F9840CB" w14:textId="77777777" w:rsidR="00E74E1C" w:rsidRPr="00E74E1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E74E1C">
        <w:rPr>
          <w:rFonts w:eastAsia="Times New Roman" w:cs="Arial"/>
          <w:color w:val="auto"/>
          <w:lang w:eastAsia="en-GB"/>
        </w:rPr>
        <w:t>The underspend predominantly relates to staff costs across the service and vacancies throughout the year. </w:t>
      </w:r>
    </w:p>
    <w:p w14:paraId="3EFA9FBC" w14:textId="77777777" w:rsidR="00E74E1C" w:rsidRPr="00E74E1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E74E1C">
        <w:rPr>
          <w:rFonts w:eastAsia="Times New Roman" w:cs="Arial"/>
          <w:color w:val="auto"/>
          <w:lang w:eastAsia="en-GB"/>
        </w:rPr>
        <w:t>  </w:t>
      </w:r>
    </w:p>
    <w:p w14:paraId="2FCED008" w14:textId="77777777" w:rsidR="00E74E1C" w:rsidRPr="00E74E1C" w:rsidRDefault="00162F2E" w:rsidP="0026517A">
      <w:pPr>
        <w:autoSpaceDE/>
        <w:autoSpaceDN/>
        <w:adjustRightInd/>
        <w:spacing w:after="0"/>
        <w:contextualSpacing/>
        <w:jc w:val="left"/>
        <w:textAlignment w:val="baseline"/>
        <w:rPr>
          <w:rFonts w:ascii="Segoe UI" w:eastAsia="Times New Roman" w:hAnsi="Segoe UI" w:cs="Segoe UI"/>
          <w:color w:val="auto"/>
          <w:sz w:val="18"/>
          <w:szCs w:val="18"/>
          <w:lang w:eastAsia="en-GB"/>
        </w:rPr>
      </w:pPr>
      <w:r w:rsidRPr="00E74E1C">
        <w:rPr>
          <w:rFonts w:eastAsia="Times New Roman" w:cs="Arial"/>
          <w:b/>
          <w:bCs/>
          <w:color w:val="auto"/>
          <w:lang w:eastAsia="en-GB"/>
        </w:rPr>
        <w:t>Strategic Development – Underspend £944,000</w:t>
      </w:r>
      <w:r w:rsidRPr="00E74E1C">
        <w:rPr>
          <w:rFonts w:eastAsia="Times New Roman" w:cs="Arial"/>
          <w:color w:val="auto"/>
          <w:lang w:eastAsia="en-GB"/>
        </w:rPr>
        <w:t> </w:t>
      </w:r>
    </w:p>
    <w:p w14:paraId="2C0F897E" w14:textId="77777777" w:rsidR="00681EE8" w:rsidRDefault="00681EE8" w:rsidP="00594C12">
      <w:pPr>
        <w:autoSpaceDE/>
        <w:autoSpaceDN/>
        <w:adjustRightInd/>
        <w:spacing w:after="0"/>
        <w:contextualSpacing/>
        <w:textAlignment w:val="baseline"/>
        <w:rPr>
          <w:rFonts w:eastAsia="Times New Roman" w:cs="Arial"/>
          <w:color w:val="auto"/>
          <w:lang w:eastAsia="en-GB"/>
        </w:rPr>
      </w:pPr>
    </w:p>
    <w:p w14:paraId="6B1A5E4B" w14:textId="77777777" w:rsidR="00E74E1C" w:rsidRPr="00E74E1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E74E1C">
        <w:rPr>
          <w:rFonts w:eastAsia="Times New Roman" w:cs="Arial"/>
          <w:color w:val="auto"/>
          <w:lang w:eastAsia="en-GB"/>
        </w:rPr>
        <w:t>The underspend is non-recurring and predominantly relates to delays in recruiting to the newly created Major Projects Team and lower projected spend on associated operational budgets. </w:t>
      </w:r>
    </w:p>
    <w:p w14:paraId="6DA053F0" w14:textId="77777777" w:rsidR="00E74E1C" w:rsidRPr="00E74E1C"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E74E1C">
        <w:rPr>
          <w:rFonts w:eastAsia="Times New Roman" w:cs="Arial"/>
          <w:color w:val="auto"/>
          <w:lang w:eastAsia="en-GB"/>
        </w:rPr>
        <w:t> </w:t>
      </w:r>
    </w:p>
    <w:p w14:paraId="3AC0FF38" w14:textId="77777777" w:rsidR="00D10794" w:rsidRDefault="00162F2E" w:rsidP="00D10794">
      <w:pPr>
        <w:spacing w:after="0"/>
        <w:rPr>
          <w:rFonts w:eastAsia="Times New Roman" w:cs="Arial"/>
          <w:b/>
          <w:lang w:eastAsia="en-GB"/>
        </w:rPr>
      </w:pPr>
      <w:r w:rsidRPr="00BC1490">
        <w:rPr>
          <w:rFonts w:eastAsia="Times New Roman" w:cs="Arial"/>
          <w:b/>
          <w:lang w:eastAsia="en-GB"/>
        </w:rPr>
        <w:t>3.6</w:t>
      </w:r>
      <w:r w:rsidRPr="00BC1490">
        <w:rPr>
          <w:rFonts w:eastAsia="Times New Roman" w:cs="Arial"/>
          <w:b/>
          <w:lang w:eastAsia="en-GB"/>
        </w:rPr>
        <w:tab/>
        <w:t xml:space="preserve">Highways and Transport </w:t>
      </w:r>
    </w:p>
    <w:p w14:paraId="190BE9E1" w14:textId="77777777" w:rsidR="001C4DB8" w:rsidRDefault="001C4DB8" w:rsidP="00D10794">
      <w:pPr>
        <w:spacing w:after="0"/>
        <w:rPr>
          <w:rFonts w:eastAsia="Times New Roman" w:cs="Arial"/>
          <w:b/>
          <w:lang w:eastAsia="en-GB"/>
        </w:rPr>
      </w:pPr>
    </w:p>
    <w:tbl>
      <w:tblPr>
        <w:tblW w:w="89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2"/>
        <w:gridCol w:w="1076"/>
        <w:gridCol w:w="986"/>
        <w:gridCol w:w="1011"/>
        <w:gridCol w:w="1011"/>
        <w:gridCol w:w="991"/>
        <w:gridCol w:w="1232"/>
      </w:tblGrid>
      <w:tr w:rsidR="006E5B54" w14:paraId="03119679" w14:textId="77777777" w:rsidTr="00BE25B2">
        <w:trPr>
          <w:trHeight w:val="615"/>
        </w:trPr>
        <w:tc>
          <w:tcPr>
            <w:tcW w:w="2662" w:type="dxa"/>
            <w:tcBorders>
              <w:top w:val="single" w:sz="6" w:space="0" w:color="auto"/>
              <w:left w:val="single" w:sz="6" w:space="0" w:color="auto"/>
              <w:bottom w:val="nil"/>
              <w:right w:val="single" w:sz="6" w:space="0" w:color="auto"/>
            </w:tcBorders>
            <w:shd w:val="clear" w:color="auto" w:fill="D9D9D9"/>
            <w:vAlign w:val="center"/>
            <w:hideMark/>
          </w:tcPr>
          <w:p w14:paraId="79180ABE"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Highways and Transport</w:t>
            </w:r>
            <w:r w:rsidRPr="001C4DB8">
              <w:rPr>
                <w:rFonts w:eastAsia="Times New Roman" w:cs="Arial"/>
                <w:sz w:val="20"/>
                <w:szCs w:val="20"/>
                <w:lang w:eastAsia="en-GB"/>
              </w:rPr>
              <w:t> </w:t>
            </w:r>
          </w:p>
        </w:tc>
        <w:tc>
          <w:tcPr>
            <w:tcW w:w="1076" w:type="dxa"/>
            <w:tcBorders>
              <w:top w:val="single" w:sz="6" w:space="0" w:color="auto"/>
              <w:left w:val="nil"/>
              <w:bottom w:val="nil"/>
              <w:right w:val="single" w:sz="6" w:space="0" w:color="auto"/>
            </w:tcBorders>
            <w:shd w:val="clear" w:color="auto" w:fill="D9D9D9"/>
            <w:vAlign w:val="center"/>
            <w:hideMark/>
          </w:tcPr>
          <w:p w14:paraId="2A610918"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Approved Net Budget </w:t>
            </w:r>
            <w:r w:rsidRPr="001C4DB8">
              <w:rPr>
                <w:rFonts w:eastAsia="Times New Roman" w:cs="Arial"/>
                <w:sz w:val="20"/>
                <w:szCs w:val="20"/>
                <w:lang w:eastAsia="en-GB"/>
              </w:rPr>
              <w:t> </w:t>
            </w:r>
          </w:p>
        </w:tc>
        <w:tc>
          <w:tcPr>
            <w:tcW w:w="986" w:type="dxa"/>
            <w:tcBorders>
              <w:top w:val="single" w:sz="6" w:space="0" w:color="auto"/>
              <w:left w:val="nil"/>
              <w:bottom w:val="nil"/>
              <w:right w:val="single" w:sz="6" w:space="0" w:color="auto"/>
            </w:tcBorders>
            <w:shd w:val="clear" w:color="auto" w:fill="D9D9D9"/>
            <w:vAlign w:val="center"/>
            <w:hideMark/>
          </w:tcPr>
          <w:p w14:paraId="67A6B11D"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Net Outturn </w:t>
            </w:r>
            <w:r w:rsidRPr="001C4DB8">
              <w:rPr>
                <w:rFonts w:eastAsia="Times New Roman" w:cs="Arial"/>
                <w:sz w:val="20"/>
                <w:szCs w:val="20"/>
                <w:lang w:eastAsia="en-GB"/>
              </w:rPr>
              <w:t> </w:t>
            </w:r>
          </w:p>
        </w:tc>
        <w:tc>
          <w:tcPr>
            <w:tcW w:w="1011" w:type="dxa"/>
            <w:tcBorders>
              <w:top w:val="single" w:sz="6" w:space="0" w:color="auto"/>
              <w:left w:val="nil"/>
              <w:bottom w:val="nil"/>
              <w:right w:val="single" w:sz="6" w:space="0" w:color="auto"/>
            </w:tcBorders>
            <w:shd w:val="clear" w:color="auto" w:fill="D9D9D9"/>
            <w:vAlign w:val="center"/>
            <w:hideMark/>
          </w:tcPr>
          <w:p w14:paraId="00E585BF"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Net Outturn Variance</w:t>
            </w:r>
            <w:r w:rsidRPr="001C4DB8">
              <w:rPr>
                <w:rFonts w:eastAsia="Times New Roman" w:cs="Arial"/>
                <w:sz w:val="20"/>
                <w:szCs w:val="20"/>
                <w:lang w:eastAsia="en-GB"/>
              </w:rPr>
              <w:t> </w:t>
            </w:r>
          </w:p>
        </w:tc>
        <w:tc>
          <w:tcPr>
            <w:tcW w:w="1011" w:type="dxa"/>
            <w:tcBorders>
              <w:top w:val="single" w:sz="6" w:space="0" w:color="auto"/>
              <w:left w:val="nil"/>
              <w:bottom w:val="nil"/>
              <w:right w:val="single" w:sz="6" w:space="0" w:color="auto"/>
            </w:tcBorders>
            <w:shd w:val="clear" w:color="auto" w:fill="D9D9D9"/>
            <w:vAlign w:val="center"/>
            <w:hideMark/>
          </w:tcPr>
          <w:p w14:paraId="0048AC8F"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Net Outturn Variance</w:t>
            </w:r>
            <w:r w:rsidRPr="001C4DB8">
              <w:rPr>
                <w:rFonts w:eastAsia="Times New Roman" w:cs="Arial"/>
                <w:sz w:val="20"/>
                <w:szCs w:val="20"/>
                <w:lang w:eastAsia="en-GB"/>
              </w:rPr>
              <w:t> </w:t>
            </w:r>
          </w:p>
        </w:tc>
        <w:tc>
          <w:tcPr>
            <w:tcW w:w="991" w:type="dxa"/>
            <w:tcBorders>
              <w:top w:val="single" w:sz="6" w:space="0" w:color="auto"/>
              <w:left w:val="nil"/>
              <w:bottom w:val="nil"/>
              <w:right w:val="single" w:sz="6" w:space="0" w:color="auto"/>
            </w:tcBorders>
            <w:shd w:val="clear" w:color="auto" w:fill="D9D9D9"/>
            <w:vAlign w:val="center"/>
            <w:hideMark/>
          </w:tcPr>
          <w:p w14:paraId="7F1097F4"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color w:val="auto"/>
                <w:sz w:val="20"/>
                <w:szCs w:val="20"/>
                <w:lang w:eastAsia="en-GB"/>
              </w:rPr>
              <w:t>Q3 Variance</w:t>
            </w:r>
            <w:r w:rsidRPr="001C4DB8">
              <w:rPr>
                <w:rFonts w:eastAsia="Times New Roman" w:cs="Arial"/>
                <w:color w:val="auto"/>
                <w:sz w:val="20"/>
                <w:szCs w:val="20"/>
                <w:lang w:eastAsia="en-GB"/>
              </w:rPr>
              <w:t> </w:t>
            </w:r>
          </w:p>
        </w:tc>
        <w:tc>
          <w:tcPr>
            <w:tcW w:w="1232" w:type="dxa"/>
            <w:tcBorders>
              <w:top w:val="single" w:sz="6" w:space="0" w:color="auto"/>
              <w:left w:val="single" w:sz="6" w:space="0" w:color="auto"/>
              <w:bottom w:val="nil"/>
              <w:right w:val="single" w:sz="6" w:space="0" w:color="auto"/>
            </w:tcBorders>
            <w:shd w:val="clear" w:color="auto" w:fill="D9D9D9"/>
            <w:vAlign w:val="center"/>
            <w:hideMark/>
          </w:tcPr>
          <w:p w14:paraId="3AA26536"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color w:val="auto"/>
                <w:sz w:val="20"/>
                <w:szCs w:val="20"/>
                <w:lang w:eastAsia="en-GB"/>
              </w:rPr>
              <w:t>Movement</w:t>
            </w:r>
            <w:r w:rsidRPr="001C4DB8">
              <w:rPr>
                <w:rFonts w:eastAsia="Times New Roman" w:cs="Arial"/>
                <w:color w:val="auto"/>
                <w:sz w:val="20"/>
                <w:szCs w:val="20"/>
                <w:lang w:eastAsia="en-GB"/>
              </w:rPr>
              <w:t> </w:t>
            </w:r>
            <w:r w:rsidRPr="001C4DB8">
              <w:rPr>
                <w:rFonts w:eastAsia="Times New Roman" w:cs="Arial"/>
                <w:color w:val="auto"/>
                <w:sz w:val="20"/>
                <w:szCs w:val="20"/>
                <w:lang w:eastAsia="en-GB"/>
              </w:rPr>
              <w:br/>
            </w:r>
            <w:r w:rsidRPr="001C4DB8">
              <w:rPr>
                <w:rFonts w:eastAsia="Times New Roman" w:cs="Arial"/>
                <w:b/>
                <w:bCs/>
                <w:color w:val="auto"/>
                <w:sz w:val="20"/>
                <w:szCs w:val="20"/>
                <w:lang w:eastAsia="en-GB"/>
              </w:rPr>
              <w:t>From Q3</w:t>
            </w:r>
            <w:r w:rsidRPr="001C4DB8">
              <w:rPr>
                <w:rFonts w:eastAsia="Times New Roman" w:cs="Arial"/>
                <w:color w:val="auto"/>
                <w:sz w:val="20"/>
                <w:szCs w:val="20"/>
                <w:lang w:eastAsia="en-GB"/>
              </w:rPr>
              <w:t> </w:t>
            </w:r>
          </w:p>
        </w:tc>
      </w:tr>
      <w:tr w:rsidR="006E5B54" w14:paraId="020CE51E" w14:textId="77777777" w:rsidTr="007E25C6">
        <w:trPr>
          <w:trHeight w:val="240"/>
        </w:trPr>
        <w:tc>
          <w:tcPr>
            <w:tcW w:w="2662" w:type="dxa"/>
            <w:tcBorders>
              <w:top w:val="nil"/>
              <w:left w:val="single" w:sz="6" w:space="0" w:color="auto"/>
              <w:bottom w:val="single" w:sz="6" w:space="0" w:color="auto"/>
              <w:right w:val="single" w:sz="6" w:space="0" w:color="auto"/>
            </w:tcBorders>
            <w:shd w:val="clear" w:color="auto" w:fill="D9D9D9"/>
            <w:vAlign w:val="center"/>
            <w:hideMark/>
          </w:tcPr>
          <w:p w14:paraId="54C648DE"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 </w:t>
            </w:r>
            <w:r w:rsidRPr="001C4DB8">
              <w:rPr>
                <w:rFonts w:eastAsia="Times New Roman" w:cs="Arial"/>
                <w:sz w:val="20"/>
                <w:szCs w:val="20"/>
                <w:lang w:eastAsia="en-GB"/>
              </w:rPr>
              <w:t> </w:t>
            </w:r>
          </w:p>
        </w:tc>
        <w:tc>
          <w:tcPr>
            <w:tcW w:w="1076" w:type="dxa"/>
            <w:tcBorders>
              <w:top w:val="nil"/>
              <w:left w:val="nil"/>
              <w:bottom w:val="single" w:sz="6" w:space="0" w:color="auto"/>
              <w:right w:val="single" w:sz="6" w:space="0" w:color="auto"/>
            </w:tcBorders>
            <w:shd w:val="clear" w:color="auto" w:fill="D9D9D9"/>
            <w:vAlign w:val="center"/>
            <w:hideMark/>
          </w:tcPr>
          <w:p w14:paraId="55E64D3B"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£m</w:t>
            </w:r>
            <w:r w:rsidRPr="001C4DB8">
              <w:rPr>
                <w:rFonts w:eastAsia="Times New Roman" w:cs="Arial"/>
                <w:sz w:val="20"/>
                <w:szCs w:val="20"/>
                <w:lang w:eastAsia="en-GB"/>
              </w:rPr>
              <w:t> </w:t>
            </w:r>
          </w:p>
        </w:tc>
        <w:tc>
          <w:tcPr>
            <w:tcW w:w="986" w:type="dxa"/>
            <w:tcBorders>
              <w:top w:val="nil"/>
              <w:left w:val="nil"/>
              <w:bottom w:val="single" w:sz="6" w:space="0" w:color="auto"/>
              <w:right w:val="single" w:sz="6" w:space="0" w:color="auto"/>
            </w:tcBorders>
            <w:shd w:val="clear" w:color="auto" w:fill="D9D9D9"/>
            <w:vAlign w:val="center"/>
            <w:hideMark/>
          </w:tcPr>
          <w:p w14:paraId="7F2DC671"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£m</w:t>
            </w:r>
            <w:r w:rsidRPr="001C4DB8">
              <w:rPr>
                <w:rFonts w:eastAsia="Times New Roman" w:cs="Arial"/>
                <w:sz w:val="20"/>
                <w:szCs w:val="20"/>
                <w:lang w:eastAsia="en-GB"/>
              </w:rPr>
              <w:t> </w:t>
            </w:r>
          </w:p>
        </w:tc>
        <w:tc>
          <w:tcPr>
            <w:tcW w:w="1011" w:type="dxa"/>
            <w:tcBorders>
              <w:top w:val="nil"/>
              <w:left w:val="nil"/>
              <w:bottom w:val="single" w:sz="6" w:space="0" w:color="auto"/>
              <w:right w:val="single" w:sz="6" w:space="0" w:color="auto"/>
            </w:tcBorders>
            <w:shd w:val="clear" w:color="auto" w:fill="D9D9D9"/>
            <w:vAlign w:val="center"/>
            <w:hideMark/>
          </w:tcPr>
          <w:p w14:paraId="1A22E07A"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£m</w:t>
            </w:r>
            <w:r w:rsidRPr="001C4DB8">
              <w:rPr>
                <w:rFonts w:eastAsia="Times New Roman" w:cs="Arial"/>
                <w:sz w:val="20"/>
                <w:szCs w:val="20"/>
                <w:lang w:eastAsia="en-GB"/>
              </w:rPr>
              <w:t> </w:t>
            </w:r>
          </w:p>
        </w:tc>
        <w:tc>
          <w:tcPr>
            <w:tcW w:w="1011" w:type="dxa"/>
            <w:tcBorders>
              <w:top w:val="nil"/>
              <w:left w:val="nil"/>
              <w:bottom w:val="single" w:sz="6" w:space="0" w:color="auto"/>
              <w:right w:val="single" w:sz="6" w:space="0" w:color="auto"/>
            </w:tcBorders>
            <w:shd w:val="clear" w:color="auto" w:fill="D9D9D9"/>
            <w:vAlign w:val="center"/>
            <w:hideMark/>
          </w:tcPr>
          <w:p w14:paraId="470A72E0"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w:t>
            </w:r>
            <w:r w:rsidRPr="001C4DB8">
              <w:rPr>
                <w:rFonts w:eastAsia="Times New Roman" w:cs="Arial"/>
                <w:sz w:val="20"/>
                <w:szCs w:val="20"/>
                <w:lang w:eastAsia="en-GB"/>
              </w:rPr>
              <w:t> </w:t>
            </w:r>
          </w:p>
        </w:tc>
        <w:tc>
          <w:tcPr>
            <w:tcW w:w="991" w:type="dxa"/>
            <w:tcBorders>
              <w:top w:val="nil"/>
              <w:left w:val="nil"/>
              <w:bottom w:val="single" w:sz="6" w:space="0" w:color="auto"/>
              <w:right w:val="single" w:sz="6" w:space="0" w:color="auto"/>
            </w:tcBorders>
            <w:shd w:val="clear" w:color="auto" w:fill="D9D9D9"/>
            <w:vAlign w:val="center"/>
            <w:hideMark/>
          </w:tcPr>
          <w:p w14:paraId="76E5CAF2"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color w:val="auto"/>
                <w:sz w:val="20"/>
                <w:szCs w:val="20"/>
                <w:lang w:eastAsia="en-GB"/>
              </w:rPr>
              <w:t>£m</w:t>
            </w:r>
            <w:r w:rsidRPr="001C4DB8">
              <w:rPr>
                <w:rFonts w:eastAsia="Times New Roman" w:cs="Arial"/>
                <w:color w:val="auto"/>
                <w:sz w:val="20"/>
                <w:szCs w:val="20"/>
                <w:lang w:eastAsia="en-GB"/>
              </w:rPr>
              <w:t> </w:t>
            </w:r>
          </w:p>
        </w:tc>
        <w:tc>
          <w:tcPr>
            <w:tcW w:w="1232" w:type="dxa"/>
            <w:tcBorders>
              <w:top w:val="nil"/>
              <w:left w:val="single" w:sz="6" w:space="0" w:color="auto"/>
              <w:bottom w:val="single" w:sz="6" w:space="0" w:color="auto"/>
              <w:right w:val="single" w:sz="6" w:space="0" w:color="auto"/>
            </w:tcBorders>
            <w:shd w:val="clear" w:color="auto" w:fill="D9D9D9"/>
            <w:vAlign w:val="center"/>
            <w:hideMark/>
          </w:tcPr>
          <w:p w14:paraId="68A7A25E" w14:textId="77777777" w:rsidR="001C4DB8" w:rsidRPr="001C4DB8" w:rsidRDefault="00162F2E" w:rsidP="001C4DB8">
            <w:pPr>
              <w:autoSpaceDE/>
              <w:autoSpaceDN/>
              <w:adjustRightInd/>
              <w:spacing w:after="0"/>
              <w:jc w:val="center"/>
              <w:textAlignment w:val="baseline"/>
              <w:rPr>
                <w:rFonts w:ascii="Segoe UI" w:eastAsia="Times New Roman" w:hAnsi="Segoe UI" w:cs="Segoe UI"/>
                <w:color w:val="auto"/>
                <w:sz w:val="18"/>
                <w:szCs w:val="18"/>
                <w:lang w:eastAsia="en-GB"/>
              </w:rPr>
            </w:pPr>
            <w:r w:rsidRPr="001C4DB8">
              <w:rPr>
                <w:rFonts w:eastAsia="Times New Roman" w:cs="Arial"/>
                <w:b/>
                <w:bCs/>
                <w:color w:val="auto"/>
                <w:sz w:val="20"/>
                <w:szCs w:val="20"/>
                <w:lang w:eastAsia="en-GB"/>
              </w:rPr>
              <w:t>£m</w:t>
            </w:r>
            <w:r w:rsidRPr="001C4DB8">
              <w:rPr>
                <w:rFonts w:eastAsia="Times New Roman" w:cs="Arial"/>
                <w:color w:val="auto"/>
                <w:sz w:val="20"/>
                <w:szCs w:val="20"/>
                <w:lang w:eastAsia="en-GB"/>
              </w:rPr>
              <w:t> </w:t>
            </w:r>
          </w:p>
        </w:tc>
      </w:tr>
      <w:tr w:rsidR="006E5B54" w14:paraId="2B184B00" w14:textId="77777777" w:rsidTr="007E25C6">
        <w:trPr>
          <w:trHeight w:val="240"/>
        </w:trPr>
        <w:tc>
          <w:tcPr>
            <w:tcW w:w="2662" w:type="dxa"/>
            <w:tcBorders>
              <w:top w:val="nil"/>
              <w:left w:val="single" w:sz="6" w:space="0" w:color="auto"/>
              <w:bottom w:val="single" w:sz="6" w:space="0" w:color="auto"/>
              <w:right w:val="single" w:sz="6" w:space="0" w:color="auto"/>
            </w:tcBorders>
            <w:shd w:val="clear" w:color="auto" w:fill="D9D9D9"/>
            <w:vAlign w:val="center"/>
            <w:hideMark/>
          </w:tcPr>
          <w:p w14:paraId="43BE51C4" w14:textId="77777777" w:rsidR="001C4DB8" w:rsidRPr="001C4DB8" w:rsidRDefault="00162F2E" w:rsidP="001C4DB8">
            <w:pPr>
              <w:autoSpaceDE/>
              <w:autoSpaceDN/>
              <w:adjustRightInd/>
              <w:spacing w:after="0"/>
              <w:jc w:val="lef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Highways</w:t>
            </w:r>
            <w:r w:rsidRPr="001C4DB8">
              <w:rPr>
                <w:rFonts w:eastAsia="Times New Roman" w:cs="Arial"/>
                <w:sz w:val="20"/>
                <w:szCs w:val="20"/>
                <w:lang w:eastAsia="en-GB"/>
              </w:rPr>
              <w:t> </w:t>
            </w:r>
          </w:p>
        </w:tc>
        <w:tc>
          <w:tcPr>
            <w:tcW w:w="1076" w:type="dxa"/>
            <w:tcBorders>
              <w:top w:val="nil"/>
              <w:left w:val="nil"/>
              <w:bottom w:val="single" w:sz="6" w:space="0" w:color="auto"/>
              <w:right w:val="single" w:sz="6" w:space="0" w:color="auto"/>
            </w:tcBorders>
            <w:shd w:val="clear" w:color="auto" w:fill="auto"/>
            <w:vAlign w:val="center"/>
            <w:hideMark/>
          </w:tcPr>
          <w:p w14:paraId="7753A9F0"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12.666 </w:t>
            </w:r>
          </w:p>
        </w:tc>
        <w:tc>
          <w:tcPr>
            <w:tcW w:w="986" w:type="dxa"/>
            <w:tcBorders>
              <w:top w:val="nil"/>
              <w:left w:val="nil"/>
              <w:bottom w:val="single" w:sz="6" w:space="0" w:color="auto"/>
              <w:right w:val="single" w:sz="6" w:space="0" w:color="auto"/>
            </w:tcBorders>
            <w:shd w:val="clear" w:color="auto" w:fill="auto"/>
            <w:vAlign w:val="center"/>
            <w:hideMark/>
          </w:tcPr>
          <w:p w14:paraId="5FAB55F2"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18.037 </w:t>
            </w:r>
          </w:p>
        </w:tc>
        <w:tc>
          <w:tcPr>
            <w:tcW w:w="1011" w:type="dxa"/>
            <w:tcBorders>
              <w:top w:val="nil"/>
              <w:left w:val="nil"/>
              <w:bottom w:val="single" w:sz="6" w:space="0" w:color="auto"/>
              <w:right w:val="single" w:sz="6" w:space="0" w:color="auto"/>
            </w:tcBorders>
            <w:shd w:val="clear" w:color="auto" w:fill="D9D9D9"/>
            <w:vAlign w:val="center"/>
            <w:hideMark/>
          </w:tcPr>
          <w:p w14:paraId="4B0D0532"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5.371 </w:t>
            </w:r>
          </w:p>
        </w:tc>
        <w:tc>
          <w:tcPr>
            <w:tcW w:w="1011" w:type="dxa"/>
            <w:tcBorders>
              <w:top w:val="nil"/>
              <w:left w:val="nil"/>
              <w:bottom w:val="single" w:sz="6" w:space="0" w:color="auto"/>
              <w:right w:val="single" w:sz="6" w:space="0" w:color="auto"/>
            </w:tcBorders>
            <w:shd w:val="clear" w:color="auto" w:fill="auto"/>
            <w:vAlign w:val="center"/>
            <w:hideMark/>
          </w:tcPr>
          <w:p w14:paraId="4D8D38AA"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42.40% </w:t>
            </w:r>
          </w:p>
        </w:tc>
        <w:tc>
          <w:tcPr>
            <w:tcW w:w="991" w:type="dxa"/>
            <w:tcBorders>
              <w:top w:val="nil"/>
              <w:left w:val="nil"/>
              <w:bottom w:val="single" w:sz="6" w:space="0" w:color="auto"/>
              <w:right w:val="single" w:sz="6" w:space="0" w:color="auto"/>
            </w:tcBorders>
            <w:shd w:val="clear" w:color="auto" w:fill="D9D9D9"/>
            <w:vAlign w:val="center"/>
            <w:hideMark/>
          </w:tcPr>
          <w:p w14:paraId="3DC3A202"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color w:val="auto"/>
                <w:sz w:val="20"/>
                <w:szCs w:val="20"/>
                <w:lang w:eastAsia="en-GB"/>
              </w:rPr>
              <w:t>6.123 </w:t>
            </w:r>
          </w:p>
        </w:tc>
        <w:tc>
          <w:tcPr>
            <w:tcW w:w="1232" w:type="dxa"/>
            <w:tcBorders>
              <w:top w:val="nil"/>
              <w:left w:val="single" w:sz="6" w:space="0" w:color="auto"/>
              <w:bottom w:val="single" w:sz="6" w:space="0" w:color="auto"/>
              <w:right w:val="single" w:sz="6" w:space="0" w:color="auto"/>
            </w:tcBorders>
            <w:shd w:val="clear" w:color="auto" w:fill="auto"/>
            <w:vAlign w:val="center"/>
            <w:hideMark/>
          </w:tcPr>
          <w:p w14:paraId="152AEECF"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color w:val="auto"/>
                <w:sz w:val="20"/>
                <w:szCs w:val="20"/>
                <w:lang w:eastAsia="en-GB"/>
              </w:rPr>
              <w:t>-0.752 </w:t>
            </w:r>
          </w:p>
        </w:tc>
      </w:tr>
      <w:tr w:rsidR="006E5B54" w14:paraId="15F266CF" w14:textId="77777777" w:rsidTr="007E25C6">
        <w:trPr>
          <w:trHeight w:val="240"/>
        </w:trPr>
        <w:tc>
          <w:tcPr>
            <w:tcW w:w="2662" w:type="dxa"/>
            <w:tcBorders>
              <w:top w:val="nil"/>
              <w:left w:val="single" w:sz="6" w:space="0" w:color="auto"/>
              <w:bottom w:val="single" w:sz="6" w:space="0" w:color="auto"/>
              <w:right w:val="single" w:sz="6" w:space="0" w:color="auto"/>
            </w:tcBorders>
            <w:shd w:val="clear" w:color="auto" w:fill="D9D9D9"/>
            <w:vAlign w:val="center"/>
            <w:hideMark/>
          </w:tcPr>
          <w:p w14:paraId="5E0203A2" w14:textId="77777777" w:rsidR="001C4DB8" w:rsidRPr="001C4DB8" w:rsidRDefault="00162F2E" w:rsidP="001C4DB8">
            <w:pPr>
              <w:autoSpaceDE/>
              <w:autoSpaceDN/>
              <w:adjustRightInd/>
              <w:spacing w:after="0"/>
              <w:jc w:val="lef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Public &amp; Integrated Transport</w:t>
            </w:r>
            <w:r w:rsidRPr="001C4DB8">
              <w:rPr>
                <w:rFonts w:eastAsia="Times New Roman" w:cs="Arial"/>
                <w:sz w:val="20"/>
                <w:szCs w:val="20"/>
                <w:lang w:eastAsia="en-GB"/>
              </w:rPr>
              <w:t> </w:t>
            </w:r>
          </w:p>
        </w:tc>
        <w:tc>
          <w:tcPr>
            <w:tcW w:w="1076" w:type="dxa"/>
            <w:tcBorders>
              <w:top w:val="nil"/>
              <w:left w:val="nil"/>
              <w:bottom w:val="single" w:sz="6" w:space="0" w:color="auto"/>
              <w:right w:val="single" w:sz="6" w:space="0" w:color="auto"/>
            </w:tcBorders>
            <w:shd w:val="clear" w:color="auto" w:fill="auto"/>
            <w:vAlign w:val="center"/>
            <w:hideMark/>
          </w:tcPr>
          <w:p w14:paraId="0E524661"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58.197 </w:t>
            </w:r>
          </w:p>
        </w:tc>
        <w:tc>
          <w:tcPr>
            <w:tcW w:w="986" w:type="dxa"/>
            <w:tcBorders>
              <w:top w:val="nil"/>
              <w:left w:val="nil"/>
              <w:bottom w:val="single" w:sz="6" w:space="0" w:color="auto"/>
              <w:right w:val="single" w:sz="6" w:space="0" w:color="auto"/>
            </w:tcBorders>
            <w:shd w:val="clear" w:color="auto" w:fill="auto"/>
            <w:vAlign w:val="center"/>
            <w:hideMark/>
          </w:tcPr>
          <w:p w14:paraId="0562B9A1"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56.887 </w:t>
            </w:r>
          </w:p>
        </w:tc>
        <w:tc>
          <w:tcPr>
            <w:tcW w:w="1011" w:type="dxa"/>
            <w:tcBorders>
              <w:top w:val="nil"/>
              <w:left w:val="nil"/>
              <w:bottom w:val="single" w:sz="6" w:space="0" w:color="auto"/>
              <w:right w:val="single" w:sz="6" w:space="0" w:color="auto"/>
            </w:tcBorders>
            <w:shd w:val="clear" w:color="auto" w:fill="D9D9D9"/>
            <w:vAlign w:val="center"/>
            <w:hideMark/>
          </w:tcPr>
          <w:p w14:paraId="3778066B"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-1.310 </w:t>
            </w:r>
          </w:p>
        </w:tc>
        <w:tc>
          <w:tcPr>
            <w:tcW w:w="1011" w:type="dxa"/>
            <w:tcBorders>
              <w:top w:val="nil"/>
              <w:left w:val="nil"/>
              <w:bottom w:val="single" w:sz="6" w:space="0" w:color="auto"/>
              <w:right w:val="single" w:sz="6" w:space="0" w:color="auto"/>
            </w:tcBorders>
            <w:shd w:val="clear" w:color="auto" w:fill="auto"/>
            <w:vAlign w:val="center"/>
            <w:hideMark/>
          </w:tcPr>
          <w:p w14:paraId="129B01CD"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-2.25% </w:t>
            </w:r>
          </w:p>
        </w:tc>
        <w:tc>
          <w:tcPr>
            <w:tcW w:w="991" w:type="dxa"/>
            <w:tcBorders>
              <w:top w:val="nil"/>
              <w:left w:val="nil"/>
              <w:bottom w:val="single" w:sz="6" w:space="0" w:color="auto"/>
              <w:right w:val="single" w:sz="6" w:space="0" w:color="auto"/>
            </w:tcBorders>
            <w:shd w:val="clear" w:color="auto" w:fill="D9D9D9"/>
            <w:vAlign w:val="center"/>
            <w:hideMark/>
          </w:tcPr>
          <w:p w14:paraId="5FA0E186"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color w:val="auto"/>
                <w:sz w:val="20"/>
                <w:szCs w:val="20"/>
                <w:lang w:eastAsia="en-GB"/>
              </w:rPr>
              <w:t>-2.878 </w:t>
            </w:r>
          </w:p>
        </w:tc>
        <w:tc>
          <w:tcPr>
            <w:tcW w:w="1232" w:type="dxa"/>
            <w:tcBorders>
              <w:top w:val="nil"/>
              <w:left w:val="single" w:sz="6" w:space="0" w:color="auto"/>
              <w:bottom w:val="single" w:sz="6" w:space="0" w:color="auto"/>
              <w:right w:val="single" w:sz="6" w:space="0" w:color="auto"/>
            </w:tcBorders>
            <w:shd w:val="clear" w:color="auto" w:fill="auto"/>
            <w:vAlign w:val="center"/>
            <w:hideMark/>
          </w:tcPr>
          <w:p w14:paraId="39F8B988"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color w:val="auto"/>
                <w:sz w:val="20"/>
                <w:szCs w:val="20"/>
                <w:lang w:eastAsia="en-GB"/>
              </w:rPr>
              <w:t>1.568 </w:t>
            </w:r>
          </w:p>
        </w:tc>
      </w:tr>
      <w:tr w:rsidR="006E5B54" w14:paraId="73666984" w14:textId="77777777" w:rsidTr="007E25C6">
        <w:trPr>
          <w:trHeight w:val="240"/>
        </w:trPr>
        <w:tc>
          <w:tcPr>
            <w:tcW w:w="2662" w:type="dxa"/>
            <w:tcBorders>
              <w:top w:val="nil"/>
              <w:left w:val="single" w:sz="6" w:space="0" w:color="auto"/>
              <w:bottom w:val="single" w:sz="6" w:space="0" w:color="auto"/>
              <w:right w:val="single" w:sz="6" w:space="0" w:color="auto"/>
            </w:tcBorders>
            <w:shd w:val="clear" w:color="auto" w:fill="D9D9D9"/>
            <w:vAlign w:val="center"/>
            <w:hideMark/>
          </w:tcPr>
          <w:p w14:paraId="0F5EC2DB" w14:textId="77777777" w:rsidR="001C4DB8" w:rsidRPr="001C4DB8" w:rsidRDefault="00162F2E" w:rsidP="001C4DB8">
            <w:pPr>
              <w:autoSpaceDE/>
              <w:autoSpaceDN/>
              <w:adjustRightInd/>
              <w:spacing w:after="0"/>
              <w:jc w:val="lef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Customer Access</w:t>
            </w:r>
            <w:r w:rsidRPr="001C4DB8">
              <w:rPr>
                <w:rFonts w:eastAsia="Times New Roman" w:cs="Arial"/>
                <w:sz w:val="20"/>
                <w:szCs w:val="20"/>
                <w:lang w:eastAsia="en-GB"/>
              </w:rPr>
              <w:t> </w:t>
            </w:r>
          </w:p>
        </w:tc>
        <w:tc>
          <w:tcPr>
            <w:tcW w:w="1076" w:type="dxa"/>
            <w:tcBorders>
              <w:top w:val="nil"/>
              <w:left w:val="nil"/>
              <w:bottom w:val="single" w:sz="6" w:space="0" w:color="auto"/>
              <w:right w:val="single" w:sz="6" w:space="0" w:color="auto"/>
            </w:tcBorders>
            <w:shd w:val="clear" w:color="auto" w:fill="auto"/>
            <w:vAlign w:val="center"/>
            <w:hideMark/>
          </w:tcPr>
          <w:p w14:paraId="4166131E"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2.819 </w:t>
            </w:r>
          </w:p>
        </w:tc>
        <w:tc>
          <w:tcPr>
            <w:tcW w:w="986" w:type="dxa"/>
            <w:tcBorders>
              <w:top w:val="nil"/>
              <w:left w:val="nil"/>
              <w:bottom w:val="single" w:sz="6" w:space="0" w:color="auto"/>
              <w:right w:val="single" w:sz="6" w:space="0" w:color="auto"/>
            </w:tcBorders>
            <w:shd w:val="clear" w:color="auto" w:fill="auto"/>
            <w:vAlign w:val="center"/>
            <w:hideMark/>
          </w:tcPr>
          <w:p w14:paraId="03F82B49"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2.791 </w:t>
            </w:r>
          </w:p>
        </w:tc>
        <w:tc>
          <w:tcPr>
            <w:tcW w:w="1011" w:type="dxa"/>
            <w:tcBorders>
              <w:top w:val="nil"/>
              <w:left w:val="nil"/>
              <w:bottom w:val="single" w:sz="6" w:space="0" w:color="auto"/>
              <w:right w:val="single" w:sz="6" w:space="0" w:color="auto"/>
            </w:tcBorders>
            <w:shd w:val="clear" w:color="auto" w:fill="D9D9D9"/>
            <w:vAlign w:val="center"/>
            <w:hideMark/>
          </w:tcPr>
          <w:p w14:paraId="62A14AA3"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-0.028 </w:t>
            </w:r>
          </w:p>
        </w:tc>
        <w:tc>
          <w:tcPr>
            <w:tcW w:w="1011" w:type="dxa"/>
            <w:tcBorders>
              <w:top w:val="nil"/>
              <w:left w:val="nil"/>
              <w:bottom w:val="single" w:sz="6" w:space="0" w:color="auto"/>
              <w:right w:val="single" w:sz="6" w:space="0" w:color="auto"/>
            </w:tcBorders>
            <w:shd w:val="clear" w:color="auto" w:fill="auto"/>
            <w:vAlign w:val="center"/>
            <w:hideMark/>
          </w:tcPr>
          <w:p w14:paraId="60B9351E"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-0.99% </w:t>
            </w:r>
          </w:p>
        </w:tc>
        <w:tc>
          <w:tcPr>
            <w:tcW w:w="991" w:type="dxa"/>
            <w:tcBorders>
              <w:top w:val="nil"/>
              <w:left w:val="nil"/>
              <w:bottom w:val="single" w:sz="6" w:space="0" w:color="auto"/>
              <w:right w:val="single" w:sz="6" w:space="0" w:color="auto"/>
            </w:tcBorders>
            <w:shd w:val="clear" w:color="auto" w:fill="D9D9D9"/>
            <w:vAlign w:val="center"/>
            <w:hideMark/>
          </w:tcPr>
          <w:p w14:paraId="3C379AF0"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color w:val="auto"/>
                <w:sz w:val="20"/>
                <w:szCs w:val="20"/>
                <w:lang w:eastAsia="en-GB"/>
              </w:rPr>
              <w:t>0.307 </w:t>
            </w:r>
          </w:p>
        </w:tc>
        <w:tc>
          <w:tcPr>
            <w:tcW w:w="1232" w:type="dxa"/>
            <w:tcBorders>
              <w:top w:val="nil"/>
              <w:left w:val="single" w:sz="6" w:space="0" w:color="auto"/>
              <w:bottom w:val="single" w:sz="6" w:space="0" w:color="auto"/>
              <w:right w:val="single" w:sz="6" w:space="0" w:color="auto"/>
            </w:tcBorders>
            <w:shd w:val="clear" w:color="auto" w:fill="auto"/>
            <w:vAlign w:val="center"/>
            <w:hideMark/>
          </w:tcPr>
          <w:p w14:paraId="3C3FB743"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color w:val="auto"/>
                <w:sz w:val="20"/>
                <w:szCs w:val="20"/>
                <w:lang w:eastAsia="en-GB"/>
              </w:rPr>
              <w:t>-0.335 </w:t>
            </w:r>
          </w:p>
        </w:tc>
      </w:tr>
      <w:tr w:rsidR="006E5B54" w14:paraId="3019A0A9" w14:textId="77777777" w:rsidTr="007E25C6">
        <w:trPr>
          <w:trHeight w:val="240"/>
        </w:trPr>
        <w:tc>
          <w:tcPr>
            <w:tcW w:w="2662" w:type="dxa"/>
            <w:tcBorders>
              <w:top w:val="nil"/>
              <w:left w:val="single" w:sz="6" w:space="0" w:color="auto"/>
              <w:bottom w:val="single" w:sz="6" w:space="0" w:color="auto"/>
              <w:right w:val="single" w:sz="6" w:space="0" w:color="auto"/>
            </w:tcBorders>
            <w:shd w:val="clear" w:color="auto" w:fill="D9D9D9"/>
            <w:vAlign w:val="center"/>
            <w:hideMark/>
          </w:tcPr>
          <w:p w14:paraId="3AEAE789" w14:textId="77777777" w:rsidR="001C4DB8" w:rsidRPr="001C4DB8" w:rsidRDefault="00162F2E" w:rsidP="001C4DB8">
            <w:pPr>
              <w:autoSpaceDE/>
              <w:autoSpaceDN/>
              <w:adjustRightInd/>
              <w:spacing w:after="0"/>
              <w:jc w:val="lef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Design and Construction</w:t>
            </w:r>
            <w:r w:rsidRPr="001C4DB8">
              <w:rPr>
                <w:rFonts w:eastAsia="Times New Roman" w:cs="Arial"/>
                <w:sz w:val="20"/>
                <w:szCs w:val="20"/>
                <w:lang w:eastAsia="en-GB"/>
              </w:rPr>
              <w:t> </w:t>
            </w:r>
          </w:p>
        </w:tc>
        <w:tc>
          <w:tcPr>
            <w:tcW w:w="1076" w:type="dxa"/>
            <w:tcBorders>
              <w:top w:val="nil"/>
              <w:left w:val="nil"/>
              <w:bottom w:val="single" w:sz="6" w:space="0" w:color="auto"/>
              <w:right w:val="single" w:sz="6" w:space="0" w:color="auto"/>
            </w:tcBorders>
            <w:shd w:val="clear" w:color="auto" w:fill="auto"/>
            <w:vAlign w:val="center"/>
            <w:hideMark/>
          </w:tcPr>
          <w:p w14:paraId="60C152E7"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-2.490 </w:t>
            </w:r>
          </w:p>
        </w:tc>
        <w:tc>
          <w:tcPr>
            <w:tcW w:w="986" w:type="dxa"/>
            <w:tcBorders>
              <w:top w:val="nil"/>
              <w:left w:val="nil"/>
              <w:bottom w:val="single" w:sz="6" w:space="0" w:color="auto"/>
              <w:right w:val="single" w:sz="6" w:space="0" w:color="auto"/>
            </w:tcBorders>
            <w:shd w:val="clear" w:color="auto" w:fill="auto"/>
            <w:vAlign w:val="center"/>
            <w:hideMark/>
          </w:tcPr>
          <w:p w14:paraId="7396437A"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1.578 </w:t>
            </w:r>
          </w:p>
        </w:tc>
        <w:tc>
          <w:tcPr>
            <w:tcW w:w="1011" w:type="dxa"/>
            <w:tcBorders>
              <w:top w:val="nil"/>
              <w:left w:val="nil"/>
              <w:bottom w:val="single" w:sz="6" w:space="0" w:color="auto"/>
              <w:right w:val="single" w:sz="6" w:space="0" w:color="auto"/>
            </w:tcBorders>
            <w:shd w:val="clear" w:color="auto" w:fill="D9D9D9"/>
            <w:vAlign w:val="center"/>
            <w:hideMark/>
          </w:tcPr>
          <w:p w14:paraId="66A79E2C"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4.068 </w:t>
            </w:r>
          </w:p>
        </w:tc>
        <w:tc>
          <w:tcPr>
            <w:tcW w:w="1011" w:type="dxa"/>
            <w:tcBorders>
              <w:top w:val="nil"/>
              <w:left w:val="nil"/>
              <w:bottom w:val="single" w:sz="6" w:space="0" w:color="auto"/>
              <w:right w:val="single" w:sz="6" w:space="0" w:color="auto"/>
            </w:tcBorders>
            <w:shd w:val="clear" w:color="auto" w:fill="auto"/>
            <w:vAlign w:val="center"/>
            <w:hideMark/>
          </w:tcPr>
          <w:p w14:paraId="476BEBC1"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-163.37% </w:t>
            </w:r>
          </w:p>
        </w:tc>
        <w:tc>
          <w:tcPr>
            <w:tcW w:w="991" w:type="dxa"/>
            <w:tcBorders>
              <w:top w:val="nil"/>
              <w:left w:val="nil"/>
              <w:bottom w:val="single" w:sz="6" w:space="0" w:color="auto"/>
              <w:right w:val="single" w:sz="6" w:space="0" w:color="auto"/>
            </w:tcBorders>
            <w:shd w:val="clear" w:color="auto" w:fill="D9D9D9"/>
            <w:vAlign w:val="center"/>
            <w:hideMark/>
          </w:tcPr>
          <w:p w14:paraId="124028ED"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color w:val="auto"/>
                <w:sz w:val="20"/>
                <w:szCs w:val="20"/>
                <w:lang w:eastAsia="en-GB"/>
              </w:rPr>
              <w:t>3.385 </w:t>
            </w:r>
          </w:p>
        </w:tc>
        <w:tc>
          <w:tcPr>
            <w:tcW w:w="1232" w:type="dxa"/>
            <w:tcBorders>
              <w:top w:val="nil"/>
              <w:left w:val="single" w:sz="6" w:space="0" w:color="auto"/>
              <w:bottom w:val="single" w:sz="6" w:space="0" w:color="auto"/>
              <w:right w:val="single" w:sz="6" w:space="0" w:color="auto"/>
            </w:tcBorders>
            <w:shd w:val="clear" w:color="auto" w:fill="auto"/>
            <w:vAlign w:val="center"/>
            <w:hideMark/>
          </w:tcPr>
          <w:p w14:paraId="426ECF75"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color w:val="auto"/>
                <w:sz w:val="20"/>
                <w:szCs w:val="20"/>
                <w:lang w:eastAsia="en-GB"/>
              </w:rPr>
              <w:t>0.683 </w:t>
            </w:r>
          </w:p>
        </w:tc>
      </w:tr>
      <w:tr w:rsidR="006E5B54" w14:paraId="3D201CB9" w14:textId="77777777" w:rsidTr="007E25C6">
        <w:trPr>
          <w:trHeight w:val="240"/>
        </w:trPr>
        <w:tc>
          <w:tcPr>
            <w:tcW w:w="2662" w:type="dxa"/>
            <w:tcBorders>
              <w:top w:val="nil"/>
              <w:left w:val="single" w:sz="6" w:space="0" w:color="auto"/>
              <w:bottom w:val="single" w:sz="6" w:space="0" w:color="auto"/>
              <w:right w:val="single" w:sz="6" w:space="0" w:color="auto"/>
            </w:tcBorders>
            <w:shd w:val="clear" w:color="auto" w:fill="D9D9D9"/>
            <w:vAlign w:val="center"/>
            <w:hideMark/>
          </w:tcPr>
          <w:p w14:paraId="62352F1C" w14:textId="77777777" w:rsidR="001C4DB8" w:rsidRPr="001C4DB8" w:rsidRDefault="00162F2E" w:rsidP="001C4DB8">
            <w:pPr>
              <w:autoSpaceDE/>
              <w:autoSpaceDN/>
              <w:adjustRightInd/>
              <w:spacing w:after="0"/>
              <w:jc w:val="lef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Total</w:t>
            </w:r>
            <w:r w:rsidRPr="001C4DB8">
              <w:rPr>
                <w:rFonts w:eastAsia="Times New Roman" w:cs="Arial"/>
                <w:sz w:val="20"/>
                <w:szCs w:val="20"/>
                <w:lang w:eastAsia="en-GB"/>
              </w:rPr>
              <w:t> </w:t>
            </w:r>
          </w:p>
        </w:tc>
        <w:tc>
          <w:tcPr>
            <w:tcW w:w="1076" w:type="dxa"/>
            <w:tcBorders>
              <w:top w:val="nil"/>
              <w:left w:val="nil"/>
              <w:bottom w:val="single" w:sz="6" w:space="0" w:color="auto"/>
              <w:right w:val="single" w:sz="6" w:space="0" w:color="auto"/>
            </w:tcBorders>
            <w:shd w:val="clear" w:color="auto" w:fill="D9D9D9"/>
            <w:vAlign w:val="center"/>
            <w:hideMark/>
          </w:tcPr>
          <w:p w14:paraId="2D5D3C76"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71.192</w:t>
            </w:r>
            <w:r w:rsidRPr="001C4DB8">
              <w:rPr>
                <w:rFonts w:eastAsia="Times New Roman" w:cs="Arial"/>
                <w:sz w:val="20"/>
                <w:szCs w:val="20"/>
                <w:lang w:eastAsia="en-GB"/>
              </w:rPr>
              <w:t> </w:t>
            </w:r>
          </w:p>
        </w:tc>
        <w:tc>
          <w:tcPr>
            <w:tcW w:w="986" w:type="dxa"/>
            <w:tcBorders>
              <w:top w:val="nil"/>
              <w:left w:val="nil"/>
              <w:bottom w:val="single" w:sz="6" w:space="0" w:color="auto"/>
              <w:right w:val="single" w:sz="6" w:space="0" w:color="auto"/>
            </w:tcBorders>
            <w:shd w:val="clear" w:color="auto" w:fill="D9D9D9"/>
            <w:vAlign w:val="center"/>
            <w:hideMark/>
          </w:tcPr>
          <w:p w14:paraId="6CE534EF"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79.293</w:t>
            </w:r>
            <w:r w:rsidRPr="001C4DB8">
              <w:rPr>
                <w:rFonts w:eastAsia="Times New Roman" w:cs="Arial"/>
                <w:sz w:val="20"/>
                <w:szCs w:val="20"/>
                <w:lang w:eastAsia="en-GB"/>
              </w:rPr>
              <w:t> </w:t>
            </w:r>
          </w:p>
        </w:tc>
        <w:tc>
          <w:tcPr>
            <w:tcW w:w="1011" w:type="dxa"/>
            <w:tcBorders>
              <w:top w:val="nil"/>
              <w:left w:val="nil"/>
              <w:bottom w:val="single" w:sz="6" w:space="0" w:color="auto"/>
              <w:right w:val="single" w:sz="6" w:space="0" w:color="auto"/>
            </w:tcBorders>
            <w:shd w:val="clear" w:color="auto" w:fill="D9D9D9"/>
            <w:vAlign w:val="center"/>
            <w:hideMark/>
          </w:tcPr>
          <w:p w14:paraId="302CAC43"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8.101</w:t>
            </w:r>
            <w:r w:rsidRPr="001C4DB8">
              <w:rPr>
                <w:rFonts w:eastAsia="Times New Roman" w:cs="Arial"/>
                <w:sz w:val="20"/>
                <w:szCs w:val="20"/>
                <w:lang w:eastAsia="en-GB"/>
              </w:rPr>
              <w:t> </w:t>
            </w:r>
          </w:p>
        </w:tc>
        <w:tc>
          <w:tcPr>
            <w:tcW w:w="1011" w:type="dxa"/>
            <w:tcBorders>
              <w:top w:val="nil"/>
              <w:left w:val="nil"/>
              <w:bottom w:val="single" w:sz="6" w:space="0" w:color="auto"/>
              <w:right w:val="single" w:sz="6" w:space="0" w:color="auto"/>
            </w:tcBorders>
            <w:shd w:val="clear" w:color="auto" w:fill="D9D9D9"/>
            <w:vAlign w:val="center"/>
            <w:hideMark/>
          </w:tcPr>
          <w:p w14:paraId="3CD94E7F"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11.38%</w:t>
            </w:r>
            <w:r w:rsidRPr="001C4DB8">
              <w:rPr>
                <w:rFonts w:eastAsia="Times New Roman" w:cs="Arial"/>
                <w:sz w:val="20"/>
                <w:szCs w:val="20"/>
                <w:lang w:eastAsia="en-GB"/>
              </w:rPr>
              <w:t> </w:t>
            </w:r>
          </w:p>
        </w:tc>
        <w:tc>
          <w:tcPr>
            <w:tcW w:w="991" w:type="dxa"/>
            <w:tcBorders>
              <w:top w:val="nil"/>
              <w:left w:val="nil"/>
              <w:bottom w:val="single" w:sz="6" w:space="0" w:color="auto"/>
              <w:right w:val="single" w:sz="6" w:space="0" w:color="auto"/>
            </w:tcBorders>
            <w:shd w:val="clear" w:color="auto" w:fill="D9D9D9"/>
            <w:vAlign w:val="center"/>
            <w:hideMark/>
          </w:tcPr>
          <w:p w14:paraId="77A534E7"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color w:val="auto"/>
                <w:sz w:val="20"/>
                <w:szCs w:val="20"/>
                <w:lang w:eastAsia="en-GB"/>
              </w:rPr>
              <w:t>6.937</w:t>
            </w:r>
            <w:r w:rsidRPr="001C4DB8">
              <w:rPr>
                <w:rFonts w:eastAsia="Times New Roman" w:cs="Arial"/>
                <w:color w:val="auto"/>
                <w:sz w:val="20"/>
                <w:szCs w:val="20"/>
                <w:lang w:eastAsia="en-GB"/>
              </w:rPr>
              <w:t> </w:t>
            </w:r>
          </w:p>
        </w:tc>
        <w:tc>
          <w:tcPr>
            <w:tcW w:w="1232" w:type="dxa"/>
            <w:tcBorders>
              <w:top w:val="nil"/>
              <w:left w:val="single" w:sz="6" w:space="0" w:color="auto"/>
              <w:bottom w:val="single" w:sz="6" w:space="0" w:color="auto"/>
              <w:right w:val="single" w:sz="6" w:space="0" w:color="auto"/>
            </w:tcBorders>
            <w:shd w:val="clear" w:color="auto" w:fill="D9D9D9"/>
            <w:vAlign w:val="center"/>
            <w:hideMark/>
          </w:tcPr>
          <w:p w14:paraId="17EB68CC"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color w:val="auto"/>
                <w:sz w:val="20"/>
                <w:szCs w:val="20"/>
                <w:lang w:eastAsia="en-GB"/>
              </w:rPr>
              <w:t>1.164</w:t>
            </w:r>
            <w:r w:rsidRPr="001C4DB8">
              <w:rPr>
                <w:rFonts w:eastAsia="Times New Roman" w:cs="Arial"/>
                <w:color w:val="auto"/>
                <w:sz w:val="20"/>
                <w:szCs w:val="20"/>
                <w:lang w:eastAsia="en-GB"/>
              </w:rPr>
              <w:t> </w:t>
            </w:r>
          </w:p>
        </w:tc>
      </w:tr>
      <w:tr w:rsidR="006E5B54" w14:paraId="072012CC" w14:textId="77777777" w:rsidTr="007E25C6">
        <w:trPr>
          <w:trHeight w:val="405"/>
        </w:trPr>
        <w:tc>
          <w:tcPr>
            <w:tcW w:w="2662" w:type="dxa"/>
            <w:tcBorders>
              <w:top w:val="nil"/>
              <w:left w:val="single" w:sz="6" w:space="0" w:color="auto"/>
              <w:bottom w:val="single" w:sz="6" w:space="0" w:color="auto"/>
              <w:right w:val="single" w:sz="6" w:space="0" w:color="auto"/>
            </w:tcBorders>
            <w:shd w:val="clear" w:color="auto" w:fill="D9D9D9"/>
            <w:vAlign w:val="center"/>
            <w:hideMark/>
          </w:tcPr>
          <w:p w14:paraId="13FAAB0B" w14:textId="77777777" w:rsidR="001C4DB8" w:rsidRPr="001C4DB8" w:rsidRDefault="00162F2E" w:rsidP="001C4DB8">
            <w:pPr>
              <w:autoSpaceDE/>
              <w:autoSpaceDN/>
              <w:adjustRightInd/>
              <w:spacing w:after="0"/>
              <w:jc w:val="lef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 xml:space="preserve">Share of unallocated </w:t>
            </w:r>
            <w:r w:rsidR="000B4881">
              <w:rPr>
                <w:rFonts w:eastAsia="Times New Roman" w:cs="Arial"/>
                <w:b/>
                <w:bCs/>
                <w:sz w:val="20"/>
                <w:szCs w:val="20"/>
                <w:lang w:eastAsia="en-GB"/>
              </w:rPr>
              <w:t>COVID</w:t>
            </w:r>
            <w:r w:rsidRPr="001C4DB8">
              <w:rPr>
                <w:rFonts w:eastAsia="Times New Roman" w:cs="Arial"/>
                <w:b/>
                <w:bCs/>
                <w:sz w:val="20"/>
                <w:szCs w:val="20"/>
                <w:lang w:eastAsia="en-GB"/>
              </w:rPr>
              <w:t>-19 emergency monies</w:t>
            </w:r>
            <w:r w:rsidRPr="001C4DB8">
              <w:rPr>
                <w:rFonts w:eastAsia="Times New Roman" w:cs="Arial"/>
                <w:sz w:val="20"/>
                <w:szCs w:val="20"/>
                <w:lang w:eastAsia="en-GB"/>
              </w:rPr>
              <w:t> </w:t>
            </w:r>
          </w:p>
        </w:tc>
        <w:tc>
          <w:tcPr>
            <w:tcW w:w="1076" w:type="dxa"/>
            <w:tcBorders>
              <w:top w:val="nil"/>
              <w:left w:val="nil"/>
              <w:bottom w:val="single" w:sz="6" w:space="0" w:color="auto"/>
              <w:right w:val="single" w:sz="6" w:space="0" w:color="auto"/>
            </w:tcBorders>
            <w:shd w:val="clear" w:color="auto" w:fill="auto"/>
            <w:vAlign w:val="center"/>
            <w:hideMark/>
          </w:tcPr>
          <w:p w14:paraId="12808390"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0.211 </w:t>
            </w:r>
          </w:p>
        </w:tc>
        <w:tc>
          <w:tcPr>
            <w:tcW w:w="986" w:type="dxa"/>
            <w:tcBorders>
              <w:top w:val="nil"/>
              <w:left w:val="nil"/>
              <w:bottom w:val="single" w:sz="6" w:space="0" w:color="auto"/>
              <w:right w:val="single" w:sz="6" w:space="0" w:color="auto"/>
            </w:tcBorders>
            <w:shd w:val="clear" w:color="auto" w:fill="auto"/>
            <w:vAlign w:val="center"/>
            <w:hideMark/>
          </w:tcPr>
          <w:p w14:paraId="6743F87D"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0.000 </w:t>
            </w:r>
          </w:p>
        </w:tc>
        <w:tc>
          <w:tcPr>
            <w:tcW w:w="1011" w:type="dxa"/>
            <w:tcBorders>
              <w:top w:val="nil"/>
              <w:left w:val="nil"/>
              <w:bottom w:val="single" w:sz="6" w:space="0" w:color="auto"/>
              <w:right w:val="single" w:sz="6" w:space="0" w:color="auto"/>
            </w:tcBorders>
            <w:shd w:val="clear" w:color="auto" w:fill="D9D9D9"/>
            <w:vAlign w:val="center"/>
            <w:hideMark/>
          </w:tcPr>
          <w:p w14:paraId="35A0B0B2"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-0.211 </w:t>
            </w:r>
          </w:p>
        </w:tc>
        <w:tc>
          <w:tcPr>
            <w:tcW w:w="1011" w:type="dxa"/>
            <w:tcBorders>
              <w:top w:val="nil"/>
              <w:left w:val="nil"/>
              <w:bottom w:val="single" w:sz="6" w:space="0" w:color="auto"/>
              <w:right w:val="single" w:sz="6" w:space="0" w:color="auto"/>
            </w:tcBorders>
            <w:shd w:val="clear" w:color="auto" w:fill="auto"/>
            <w:vAlign w:val="center"/>
            <w:hideMark/>
          </w:tcPr>
          <w:p w14:paraId="70A77BF8"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sz w:val="20"/>
                <w:szCs w:val="20"/>
                <w:lang w:eastAsia="en-GB"/>
              </w:rPr>
              <w:t>  </w:t>
            </w:r>
          </w:p>
        </w:tc>
        <w:tc>
          <w:tcPr>
            <w:tcW w:w="991" w:type="dxa"/>
            <w:tcBorders>
              <w:top w:val="nil"/>
              <w:left w:val="nil"/>
              <w:bottom w:val="single" w:sz="6" w:space="0" w:color="auto"/>
              <w:right w:val="single" w:sz="6" w:space="0" w:color="auto"/>
            </w:tcBorders>
            <w:shd w:val="clear" w:color="auto" w:fill="D9D9D9"/>
            <w:vAlign w:val="center"/>
            <w:hideMark/>
          </w:tcPr>
          <w:p w14:paraId="644BDB18"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color w:val="auto"/>
                <w:sz w:val="20"/>
                <w:szCs w:val="20"/>
                <w:lang w:eastAsia="en-GB"/>
              </w:rPr>
              <w:t>-0.211 </w:t>
            </w:r>
          </w:p>
        </w:tc>
        <w:tc>
          <w:tcPr>
            <w:tcW w:w="1232" w:type="dxa"/>
            <w:tcBorders>
              <w:top w:val="nil"/>
              <w:left w:val="single" w:sz="6" w:space="0" w:color="auto"/>
              <w:bottom w:val="single" w:sz="6" w:space="0" w:color="auto"/>
              <w:right w:val="single" w:sz="6" w:space="0" w:color="auto"/>
            </w:tcBorders>
            <w:shd w:val="clear" w:color="auto" w:fill="auto"/>
            <w:vAlign w:val="center"/>
            <w:hideMark/>
          </w:tcPr>
          <w:p w14:paraId="4D210740"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color w:val="auto"/>
                <w:sz w:val="20"/>
                <w:szCs w:val="20"/>
                <w:lang w:eastAsia="en-GB"/>
              </w:rPr>
              <w:t>0.000 </w:t>
            </w:r>
          </w:p>
        </w:tc>
      </w:tr>
      <w:tr w:rsidR="006E5B54" w14:paraId="28CEB3A2" w14:textId="77777777" w:rsidTr="007E25C6">
        <w:trPr>
          <w:trHeight w:val="240"/>
        </w:trPr>
        <w:tc>
          <w:tcPr>
            <w:tcW w:w="2662" w:type="dxa"/>
            <w:tcBorders>
              <w:top w:val="nil"/>
              <w:left w:val="single" w:sz="6" w:space="0" w:color="auto"/>
              <w:bottom w:val="single" w:sz="6" w:space="0" w:color="auto"/>
              <w:right w:val="single" w:sz="6" w:space="0" w:color="auto"/>
            </w:tcBorders>
            <w:shd w:val="clear" w:color="auto" w:fill="D9D9D9"/>
            <w:vAlign w:val="center"/>
            <w:hideMark/>
          </w:tcPr>
          <w:p w14:paraId="747DC8D7" w14:textId="77777777" w:rsidR="001C4DB8" w:rsidRPr="001C4DB8" w:rsidRDefault="00162F2E" w:rsidP="001C4DB8">
            <w:pPr>
              <w:autoSpaceDE/>
              <w:autoSpaceDN/>
              <w:adjustRightInd/>
              <w:spacing w:after="0"/>
              <w:jc w:val="lef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Total Highways and Transport</w:t>
            </w:r>
            <w:r w:rsidRPr="001C4DB8">
              <w:rPr>
                <w:rFonts w:eastAsia="Times New Roman" w:cs="Arial"/>
                <w:sz w:val="20"/>
                <w:szCs w:val="20"/>
                <w:lang w:eastAsia="en-GB"/>
              </w:rPr>
              <w:t> </w:t>
            </w:r>
          </w:p>
        </w:tc>
        <w:tc>
          <w:tcPr>
            <w:tcW w:w="1076" w:type="dxa"/>
            <w:tcBorders>
              <w:top w:val="nil"/>
              <w:left w:val="nil"/>
              <w:bottom w:val="single" w:sz="6" w:space="0" w:color="auto"/>
              <w:right w:val="single" w:sz="6" w:space="0" w:color="auto"/>
            </w:tcBorders>
            <w:shd w:val="clear" w:color="auto" w:fill="D9D9D9"/>
            <w:vAlign w:val="center"/>
            <w:hideMark/>
          </w:tcPr>
          <w:p w14:paraId="188ECACE"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71.403</w:t>
            </w:r>
            <w:r w:rsidRPr="001C4DB8">
              <w:rPr>
                <w:rFonts w:eastAsia="Times New Roman" w:cs="Arial"/>
                <w:sz w:val="20"/>
                <w:szCs w:val="20"/>
                <w:lang w:eastAsia="en-GB"/>
              </w:rPr>
              <w:t> </w:t>
            </w:r>
          </w:p>
        </w:tc>
        <w:tc>
          <w:tcPr>
            <w:tcW w:w="986" w:type="dxa"/>
            <w:tcBorders>
              <w:top w:val="nil"/>
              <w:left w:val="nil"/>
              <w:bottom w:val="single" w:sz="6" w:space="0" w:color="auto"/>
              <w:right w:val="single" w:sz="6" w:space="0" w:color="auto"/>
            </w:tcBorders>
            <w:shd w:val="clear" w:color="auto" w:fill="D9D9D9"/>
            <w:vAlign w:val="center"/>
            <w:hideMark/>
          </w:tcPr>
          <w:p w14:paraId="39070D7D"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79.293</w:t>
            </w:r>
            <w:r w:rsidRPr="001C4DB8">
              <w:rPr>
                <w:rFonts w:eastAsia="Times New Roman" w:cs="Arial"/>
                <w:sz w:val="20"/>
                <w:szCs w:val="20"/>
                <w:lang w:eastAsia="en-GB"/>
              </w:rPr>
              <w:t> </w:t>
            </w:r>
          </w:p>
        </w:tc>
        <w:tc>
          <w:tcPr>
            <w:tcW w:w="1011" w:type="dxa"/>
            <w:tcBorders>
              <w:top w:val="nil"/>
              <w:left w:val="nil"/>
              <w:bottom w:val="single" w:sz="6" w:space="0" w:color="auto"/>
              <w:right w:val="single" w:sz="6" w:space="0" w:color="auto"/>
            </w:tcBorders>
            <w:shd w:val="clear" w:color="auto" w:fill="D9D9D9"/>
            <w:vAlign w:val="center"/>
            <w:hideMark/>
          </w:tcPr>
          <w:p w14:paraId="5E9D4748"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7.890</w:t>
            </w:r>
            <w:r w:rsidRPr="001C4DB8">
              <w:rPr>
                <w:rFonts w:eastAsia="Times New Roman" w:cs="Arial"/>
                <w:sz w:val="20"/>
                <w:szCs w:val="20"/>
                <w:lang w:eastAsia="en-GB"/>
              </w:rPr>
              <w:t> </w:t>
            </w:r>
          </w:p>
        </w:tc>
        <w:tc>
          <w:tcPr>
            <w:tcW w:w="1011" w:type="dxa"/>
            <w:tcBorders>
              <w:top w:val="nil"/>
              <w:left w:val="nil"/>
              <w:bottom w:val="single" w:sz="6" w:space="0" w:color="auto"/>
              <w:right w:val="single" w:sz="6" w:space="0" w:color="auto"/>
            </w:tcBorders>
            <w:shd w:val="clear" w:color="auto" w:fill="D9D9D9"/>
            <w:vAlign w:val="center"/>
            <w:hideMark/>
          </w:tcPr>
          <w:p w14:paraId="52C46AF3"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sz w:val="20"/>
                <w:szCs w:val="20"/>
                <w:lang w:eastAsia="en-GB"/>
              </w:rPr>
              <w:t>11.05%</w:t>
            </w:r>
            <w:r w:rsidRPr="001C4DB8">
              <w:rPr>
                <w:rFonts w:eastAsia="Times New Roman" w:cs="Arial"/>
                <w:sz w:val="20"/>
                <w:szCs w:val="20"/>
                <w:lang w:eastAsia="en-GB"/>
              </w:rPr>
              <w:t> </w:t>
            </w:r>
          </w:p>
        </w:tc>
        <w:tc>
          <w:tcPr>
            <w:tcW w:w="991" w:type="dxa"/>
            <w:tcBorders>
              <w:top w:val="nil"/>
              <w:left w:val="nil"/>
              <w:bottom w:val="single" w:sz="6" w:space="0" w:color="auto"/>
              <w:right w:val="single" w:sz="6" w:space="0" w:color="auto"/>
            </w:tcBorders>
            <w:shd w:val="clear" w:color="auto" w:fill="D9D9D9"/>
            <w:vAlign w:val="center"/>
            <w:hideMark/>
          </w:tcPr>
          <w:p w14:paraId="5447C54B"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color w:val="auto"/>
                <w:sz w:val="20"/>
                <w:szCs w:val="20"/>
                <w:lang w:eastAsia="en-GB"/>
              </w:rPr>
              <w:t>6.726</w:t>
            </w:r>
            <w:r w:rsidRPr="001C4DB8">
              <w:rPr>
                <w:rFonts w:eastAsia="Times New Roman" w:cs="Arial"/>
                <w:color w:val="auto"/>
                <w:sz w:val="20"/>
                <w:szCs w:val="20"/>
                <w:lang w:eastAsia="en-GB"/>
              </w:rPr>
              <w:t> </w:t>
            </w:r>
          </w:p>
        </w:tc>
        <w:tc>
          <w:tcPr>
            <w:tcW w:w="1232" w:type="dxa"/>
            <w:tcBorders>
              <w:top w:val="nil"/>
              <w:left w:val="single" w:sz="6" w:space="0" w:color="auto"/>
              <w:bottom w:val="single" w:sz="6" w:space="0" w:color="auto"/>
              <w:right w:val="single" w:sz="6" w:space="0" w:color="auto"/>
            </w:tcBorders>
            <w:shd w:val="clear" w:color="auto" w:fill="D9D9D9"/>
            <w:vAlign w:val="center"/>
            <w:hideMark/>
          </w:tcPr>
          <w:p w14:paraId="60689FFE" w14:textId="77777777" w:rsidR="001C4DB8" w:rsidRPr="001C4DB8" w:rsidRDefault="00162F2E" w:rsidP="001C4DB8">
            <w:pPr>
              <w:autoSpaceDE/>
              <w:autoSpaceDN/>
              <w:adjustRightInd/>
              <w:spacing w:after="0"/>
              <w:jc w:val="right"/>
              <w:textAlignment w:val="baseline"/>
              <w:rPr>
                <w:rFonts w:ascii="Segoe UI" w:eastAsia="Times New Roman" w:hAnsi="Segoe UI" w:cs="Segoe UI"/>
                <w:color w:val="auto"/>
                <w:sz w:val="18"/>
                <w:szCs w:val="18"/>
                <w:lang w:eastAsia="en-GB"/>
              </w:rPr>
            </w:pPr>
            <w:r w:rsidRPr="001C4DB8">
              <w:rPr>
                <w:rFonts w:eastAsia="Times New Roman" w:cs="Arial"/>
                <w:b/>
                <w:bCs/>
                <w:color w:val="auto"/>
                <w:sz w:val="20"/>
                <w:szCs w:val="20"/>
                <w:lang w:eastAsia="en-GB"/>
              </w:rPr>
              <w:t>1.164</w:t>
            </w:r>
            <w:r w:rsidRPr="001C4DB8">
              <w:rPr>
                <w:rFonts w:eastAsia="Times New Roman" w:cs="Arial"/>
                <w:color w:val="auto"/>
                <w:sz w:val="20"/>
                <w:szCs w:val="20"/>
                <w:lang w:eastAsia="en-GB"/>
              </w:rPr>
              <w:t> </w:t>
            </w:r>
          </w:p>
        </w:tc>
      </w:tr>
    </w:tbl>
    <w:p w14:paraId="1CCE17F5" w14:textId="77777777" w:rsidR="007E25C6" w:rsidRDefault="007E25C6" w:rsidP="0026517A">
      <w:pPr>
        <w:pStyle w:val="paragraph"/>
        <w:spacing w:before="0" w:beforeAutospacing="0" w:after="0" w:afterAutospacing="0"/>
        <w:contextualSpacing/>
        <w:jc w:val="both"/>
        <w:textAlignment w:val="baseline"/>
        <w:rPr>
          <w:rStyle w:val="normaltextrun"/>
          <w:rFonts w:ascii="Arial" w:eastAsia="Calibri" w:hAnsi="Arial" w:cs="Helvetica-Light"/>
          <w:color w:val="000000"/>
          <w:lang w:eastAsia="en-US"/>
        </w:rPr>
      </w:pPr>
    </w:p>
    <w:p w14:paraId="2979DE22" w14:textId="77777777" w:rsidR="007E25C6" w:rsidRDefault="00162F2E" w:rsidP="0026517A">
      <w:pPr>
        <w:pStyle w:val="paragraph"/>
        <w:spacing w:before="0" w:beforeAutospacing="0" w:after="0" w:afterAutospacing="0"/>
        <w:contextualSpacing/>
        <w:jc w:val="both"/>
        <w:textAlignment w:val="baseline"/>
        <w:rPr>
          <w:rFonts w:ascii="Segoe UI" w:hAnsi="Segoe UI" w:cs="Segoe UI"/>
          <w:sz w:val="18"/>
          <w:szCs w:val="18"/>
        </w:rPr>
      </w:pPr>
      <w:r>
        <w:rPr>
          <w:rStyle w:val="normaltextrun"/>
          <w:rFonts w:ascii="Arial" w:hAnsi="Arial"/>
        </w:rPr>
        <w:t xml:space="preserve">The total net approved budget for Highways and Transport in 2021/22 was £71.402m including an allocation of £211,000 for </w:t>
      </w:r>
      <w:r w:rsidR="000B4881">
        <w:rPr>
          <w:rStyle w:val="normaltextrun"/>
          <w:rFonts w:ascii="Arial" w:hAnsi="Arial"/>
        </w:rPr>
        <w:t>COVID</w:t>
      </w:r>
      <w:r>
        <w:rPr>
          <w:rStyle w:val="normaltextrun"/>
          <w:rFonts w:ascii="Arial" w:hAnsi="Arial"/>
        </w:rPr>
        <w:t>-19 for the first 3 months of 2021/22.  </w:t>
      </w:r>
      <w:r>
        <w:rPr>
          <w:rStyle w:val="eop"/>
          <w:rFonts w:ascii="Arial" w:hAnsi="Arial"/>
        </w:rPr>
        <w:t> </w:t>
      </w:r>
    </w:p>
    <w:p w14:paraId="434B86CF" w14:textId="77777777" w:rsidR="007E25C6" w:rsidRDefault="00162F2E" w:rsidP="0026517A">
      <w:pPr>
        <w:pStyle w:val="paragraph"/>
        <w:spacing w:before="0" w:beforeAutospacing="0" w:after="0" w:afterAutospacing="0"/>
        <w:contextualSpacing/>
        <w:jc w:val="both"/>
        <w:textAlignment w:val="baseline"/>
        <w:rPr>
          <w:rFonts w:ascii="Segoe UI" w:hAnsi="Segoe UI" w:cs="Segoe UI"/>
          <w:sz w:val="18"/>
          <w:szCs w:val="18"/>
        </w:rPr>
      </w:pPr>
      <w:r>
        <w:rPr>
          <w:rStyle w:val="eop"/>
          <w:rFonts w:ascii="Arial" w:hAnsi="Arial"/>
        </w:rPr>
        <w:t> </w:t>
      </w:r>
    </w:p>
    <w:p w14:paraId="437F7F7A" w14:textId="77777777" w:rsidR="007E25C6" w:rsidRDefault="00162F2E" w:rsidP="0026517A">
      <w:pPr>
        <w:pStyle w:val="paragraph"/>
        <w:spacing w:before="0" w:beforeAutospacing="0" w:after="0" w:afterAutospacing="0"/>
        <w:contextualSpacing/>
        <w:jc w:val="both"/>
        <w:textAlignment w:val="baseline"/>
        <w:rPr>
          <w:rStyle w:val="eop"/>
          <w:rFonts w:ascii="Arial" w:hAnsi="Arial"/>
        </w:rPr>
      </w:pPr>
      <w:r>
        <w:rPr>
          <w:rStyle w:val="normaltextrun"/>
          <w:rFonts w:ascii="Arial" w:hAnsi="Arial"/>
        </w:rPr>
        <w:t>The service overspent by £7.890m in 2021/22.</w:t>
      </w:r>
      <w:r>
        <w:rPr>
          <w:rStyle w:val="eop"/>
          <w:rFonts w:ascii="Arial" w:hAnsi="Arial"/>
        </w:rPr>
        <w:t> </w:t>
      </w:r>
    </w:p>
    <w:p w14:paraId="0D4A41B7" w14:textId="77777777" w:rsidR="00BC1490" w:rsidRPr="00BC1490" w:rsidRDefault="00162F2E" w:rsidP="0026517A">
      <w:pPr>
        <w:pStyle w:val="paragraph"/>
        <w:spacing w:before="0" w:beforeAutospacing="0" w:after="0" w:afterAutospacing="0"/>
        <w:contextualSpacing/>
        <w:jc w:val="both"/>
        <w:textAlignment w:val="baseline"/>
        <w:rPr>
          <w:rFonts w:ascii="Segoe UI" w:hAnsi="Segoe UI" w:cs="Segoe UI"/>
          <w:sz w:val="18"/>
          <w:szCs w:val="18"/>
        </w:rPr>
      </w:pPr>
      <w:r>
        <w:rPr>
          <w:rFonts w:cs="Arial"/>
        </w:rPr>
        <w:t xml:space="preserve">                                                                                                                                                              </w:t>
      </w:r>
    </w:p>
    <w:p w14:paraId="74C7CD83" w14:textId="77777777" w:rsidR="00BC1490" w:rsidRPr="00BC1490" w:rsidRDefault="00162F2E" w:rsidP="0026517A">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b/>
          <w:bCs/>
          <w:color w:val="auto"/>
          <w:lang w:eastAsia="en-GB"/>
        </w:rPr>
        <w:t>Highways – Overspend £5.</w:t>
      </w:r>
      <w:r w:rsidR="007E25C6">
        <w:rPr>
          <w:rFonts w:eastAsia="Times New Roman" w:cs="Arial"/>
          <w:b/>
          <w:bCs/>
          <w:color w:val="auto"/>
          <w:lang w:eastAsia="en-GB"/>
        </w:rPr>
        <w:t>371</w:t>
      </w:r>
      <w:r w:rsidRPr="00BC1490">
        <w:rPr>
          <w:rFonts w:eastAsia="Times New Roman" w:cs="Arial"/>
          <w:b/>
          <w:bCs/>
          <w:color w:val="auto"/>
          <w:lang w:eastAsia="en-GB"/>
        </w:rPr>
        <w:t>m</w:t>
      </w:r>
      <w:r w:rsidRPr="00BC1490">
        <w:rPr>
          <w:rFonts w:eastAsia="Times New Roman" w:cs="Arial"/>
          <w:color w:val="auto"/>
          <w:lang w:eastAsia="en-GB"/>
        </w:rPr>
        <w:t> </w:t>
      </w:r>
    </w:p>
    <w:p w14:paraId="30241819" w14:textId="77777777" w:rsidR="00BC1490" w:rsidRDefault="00162F2E">
      <w:pPr>
        <w:autoSpaceDE/>
        <w:autoSpaceDN/>
        <w:adjustRightInd/>
        <w:spacing w:after="0"/>
        <w:contextualSpacing/>
        <w:textAlignment w:val="baseline"/>
        <w:rPr>
          <w:rFonts w:eastAsia="Times New Roman" w:cs="Arial"/>
          <w:color w:val="auto"/>
          <w:lang w:eastAsia="en-GB"/>
        </w:rPr>
      </w:pPr>
      <w:r w:rsidRPr="00BC1490">
        <w:rPr>
          <w:rFonts w:eastAsia="Times New Roman" w:cs="Arial"/>
          <w:color w:val="auto"/>
          <w:lang w:eastAsia="en-GB"/>
        </w:rPr>
        <w:t> </w:t>
      </w:r>
    </w:p>
    <w:p w14:paraId="73BD3425" w14:textId="77777777" w:rsidR="00A96F5B" w:rsidRDefault="00162F2E">
      <w:pPr>
        <w:pStyle w:val="paragraph"/>
        <w:spacing w:before="0" w:beforeAutospacing="0" w:after="0" w:afterAutospacing="0"/>
        <w:contextualSpacing/>
        <w:jc w:val="both"/>
        <w:textAlignment w:val="baseline"/>
        <w:rPr>
          <w:rStyle w:val="normaltextrun"/>
          <w:rFonts w:ascii="Arial" w:hAnsi="Arial" w:cs="Arial"/>
        </w:rPr>
      </w:pPr>
      <w:r w:rsidRPr="00A96F5B">
        <w:rPr>
          <w:rStyle w:val="normaltextrun"/>
          <w:rFonts w:ascii="Arial" w:hAnsi="Arial" w:cs="Arial"/>
        </w:rPr>
        <w:t>Overspends of £5.000m relate to a revenue contribution to capital outlay (RCCO) to fund expenditure on structural defects. However, due to the increased capital works delivered during 2021/22 overheads charged to capital incre</w:t>
      </w:r>
      <w:r w:rsidRPr="006845C0">
        <w:rPr>
          <w:rStyle w:val="normaltextrun"/>
          <w:rFonts w:ascii="Arial" w:hAnsi="Arial" w:cs="Arial"/>
        </w:rPr>
        <w:t xml:space="preserve">ased by £1.272m as </w:t>
      </w:r>
      <w:r>
        <w:rPr>
          <w:rStyle w:val="normaltextrun"/>
          <w:rFonts w:ascii="Arial" w:hAnsi="Arial" w:cs="Arial"/>
        </w:rPr>
        <w:t>these</w:t>
      </w:r>
      <w:r w:rsidRPr="006845C0">
        <w:rPr>
          <w:rStyle w:val="normaltextrun"/>
          <w:rFonts w:ascii="Arial" w:hAnsi="Arial" w:cs="Arial"/>
        </w:rPr>
        <w:t xml:space="preserve"> are based on the value of work delivered which has partly offset the unbudgeted revenue contribution.</w:t>
      </w:r>
    </w:p>
    <w:p w14:paraId="3C867111" w14:textId="77777777" w:rsidR="00C314C9" w:rsidRDefault="00C314C9">
      <w:pPr>
        <w:pStyle w:val="paragraph"/>
        <w:spacing w:before="0" w:beforeAutospacing="0" w:after="0" w:afterAutospacing="0"/>
        <w:contextualSpacing/>
        <w:jc w:val="both"/>
        <w:textAlignment w:val="baseline"/>
        <w:rPr>
          <w:rStyle w:val="normaltextrun"/>
          <w:rFonts w:ascii="Arial" w:eastAsia="Calibri" w:hAnsi="Arial" w:cs="Arial"/>
          <w:color w:val="000000"/>
          <w:lang w:eastAsia="en-US"/>
        </w:rPr>
      </w:pPr>
    </w:p>
    <w:p w14:paraId="0CAC7C4F"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Pr>
          <w:rStyle w:val="normaltextrun"/>
          <w:rFonts w:cs="Arial"/>
          <w:shd w:val="clear" w:color="auto" w:fill="FFFFFF"/>
        </w:rPr>
        <w:t xml:space="preserve">Overspends of £765,000 related to lower income across the service. Bus lane enforcement and parking income streams have continued to be heavily affected by </w:t>
      </w:r>
      <w:r w:rsidR="0026517A">
        <w:rPr>
          <w:rStyle w:val="normaltextrun"/>
          <w:rFonts w:cs="Arial"/>
          <w:shd w:val="clear" w:color="auto" w:fill="FFFFFF"/>
        </w:rPr>
        <w:t>C</w:t>
      </w:r>
      <w:r w:rsidR="00626DB7">
        <w:rPr>
          <w:rStyle w:val="normaltextrun"/>
          <w:rFonts w:cs="Arial"/>
          <w:shd w:val="clear" w:color="auto" w:fill="FFFFFF"/>
        </w:rPr>
        <w:t>ovid</w:t>
      </w:r>
      <w:r>
        <w:rPr>
          <w:rStyle w:val="normaltextrun"/>
          <w:rFonts w:cs="Arial"/>
          <w:shd w:val="clear" w:color="auto" w:fill="FFFFFF"/>
        </w:rPr>
        <w:t>-19. Much of this income is from fixed penalty notices and as such lower volumes of traffic has resulted in reduced income.  Delays in the implementation of additional on-street pay and display sites have also contributed to the shortfall in income compared to budget.</w:t>
      </w:r>
    </w:p>
    <w:p w14:paraId="5029A217" w14:textId="77777777" w:rsidR="001868F3" w:rsidRPr="00626DB7" w:rsidRDefault="00162F2E" w:rsidP="000B4881">
      <w:pPr>
        <w:spacing w:after="0"/>
        <w:contextualSpacing/>
        <w:rPr>
          <w:rStyle w:val="normaltextrun"/>
          <w:rFonts w:cs="Arial"/>
        </w:rPr>
      </w:pPr>
      <w:r w:rsidRPr="00BC1490">
        <w:rPr>
          <w:rFonts w:eastAsia="Times New Roman" w:cs="Arial"/>
          <w:color w:val="auto"/>
          <w:lang w:eastAsia="en-GB"/>
        </w:rPr>
        <w:t> </w:t>
      </w:r>
    </w:p>
    <w:p w14:paraId="683C1974" w14:textId="77777777" w:rsidR="00BC1490" w:rsidRPr="00626DB7" w:rsidRDefault="00162F2E" w:rsidP="00626DB7">
      <w:pPr>
        <w:pStyle w:val="paragraph"/>
        <w:spacing w:before="0" w:beforeAutospacing="0" w:after="0" w:afterAutospacing="0"/>
        <w:contextualSpacing/>
        <w:jc w:val="both"/>
        <w:textAlignment w:val="baseline"/>
        <w:rPr>
          <w:rFonts w:ascii="Arial" w:hAnsi="Arial" w:cs="Arial"/>
        </w:rPr>
      </w:pPr>
      <w:r>
        <w:rPr>
          <w:rStyle w:val="normaltextrun"/>
          <w:rFonts w:ascii="Arial" w:hAnsi="Arial" w:cs="Arial"/>
        </w:rPr>
        <w:lastRenderedPageBreak/>
        <w:t>O</w:t>
      </w:r>
      <w:r w:rsidR="008C014F">
        <w:rPr>
          <w:rStyle w:val="normaltextrun"/>
          <w:rFonts w:ascii="Arial" w:hAnsi="Arial" w:cs="Arial"/>
        </w:rPr>
        <w:t>verspends of c£</w:t>
      </w:r>
      <w:r w:rsidR="00FD35DB">
        <w:rPr>
          <w:rStyle w:val="normaltextrun"/>
          <w:rFonts w:ascii="Arial" w:hAnsi="Arial" w:cs="Arial"/>
        </w:rPr>
        <w:t>8</w:t>
      </w:r>
      <w:r w:rsidR="00F87C8E">
        <w:rPr>
          <w:rStyle w:val="normaltextrun"/>
          <w:rFonts w:ascii="Arial" w:hAnsi="Arial" w:cs="Arial"/>
        </w:rPr>
        <w:t>78</w:t>
      </w:r>
      <w:r w:rsidR="008C014F">
        <w:rPr>
          <w:rStyle w:val="normaltextrun"/>
          <w:rFonts w:ascii="Arial" w:hAnsi="Arial" w:cs="Arial"/>
        </w:rPr>
        <w:t xml:space="preserve">,000 relate to </w:t>
      </w:r>
      <w:r w:rsidR="001868F3" w:rsidRPr="00626DB7">
        <w:rPr>
          <w:rStyle w:val="normaltextrun"/>
          <w:rFonts w:ascii="Arial" w:hAnsi="Arial" w:cs="Arial"/>
        </w:rPr>
        <w:t>a number of other smaller cost pressures</w:t>
      </w:r>
      <w:r w:rsidR="00C12F05" w:rsidRPr="00626DB7">
        <w:rPr>
          <w:rStyle w:val="normaltextrun"/>
          <w:rFonts w:ascii="Arial" w:hAnsi="Arial" w:cs="Arial"/>
        </w:rPr>
        <w:t xml:space="preserve"> the most significant</w:t>
      </w:r>
      <w:r w:rsidR="001868F3" w:rsidRPr="00626DB7">
        <w:rPr>
          <w:rStyle w:val="normaltextrun"/>
          <w:rFonts w:ascii="Arial" w:hAnsi="Arial" w:cs="Arial"/>
        </w:rPr>
        <w:t xml:space="preserve"> </w:t>
      </w:r>
      <w:r w:rsidR="005A2E30" w:rsidRPr="00626DB7">
        <w:rPr>
          <w:rStyle w:val="normaltextrun"/>
          <w:rFonts w:ascii="Arial" w:hAnsi="Arial" w:cs="Arial"/>
        </w:rPr>
        <w:t>relating to traffic signals maintenance</w:t>
      </w:r>
      <w:r w:rsidR="00EF558B" w:rsidRPr="00626DB7">
        <w:rPr>
          <w:rStyle w:val="normaltextrun"/>
          <w:rFonts w:ascii="Arial" w:hAnsi="Arial" w:cs="Arial"/>
        </w:rPr>
        <w:t xml:space="preserve"> due to increased system failures</w:t>
      </w:r>
      <w:r w:rsidR="00F2013E">
        <w:rPr>
          <w:rStyle w:val="normaltextrun"/>
          <w:rFonts w:ascii="Arial" w:hAnsi="Arial" w:cs="Arial"/>
        </w:rPr>
        <w:t xml:space="preserve">, </w:t>
      </w:r>
      <w:r w:rsidR="00C12F05" w:rsidRPr="00626DB7">
        <w:rPr>
          <w:rStyle w:val="normaltextrun"/>
          <w:rFonts w:ascii="Arial" w:hAnsi="Arial" w:cs="Arial"/>
        </w:rPr>
        <w:t>severe weath</w:t>
      </w:r>
      <w:r w:rsidR="002A64B0" w:rsidRPr="00626DB7">
        <w:rPr>
          <w:rStyle w:val="normaltextrun"/>
          <w:rFonts w:ascii="Arial" w:hAnsi="Arial" w:cs="Arial"/>
        </w:rPr>
        <w:t>er</w:t>
      </w:r>
      <w:r w:rsidR="00931AF3" w:rsidRPr="00626DB7">
        <w:rPr>
          <w:rStyle w:val="eop"/>
          <w:rFonts w:ascii="Arial" w:hAnsi="Arial" w:cs="Arial"/>
        </w:rPr>
        <w:t xml:space="preserve"> </w:t>
      </w:r>
      <w:r w:rsidR="002A64B0" w:rsidRPr="00626DB7">
        <w:rPr>
          <w:rFonts w:ascii="Arial" w:hAnsi="Arial" w:cs="Arial"/>
        </w:rPr>
        <w:t xml:space="preserve">due to additional gritting costs in April </w:t>
      </w:r>
      <w:r w:rsidR="00B327DE">
        <w:rPr>
          <w:rFonts w:ascii="Arial" w:hAnsi="Arial" w:cs="Arial"/>
        </w:rPr>
        <w:t xml:space="preserve">2021 </w:t>
      </w:r>
      <w:r w:rsidR="002A64B0" w:rsidRPr="00626DB7">
        <w:rPr>
          <w:rFonts w:ascii="Arial" w:hAnsi="Arial" w:cs="Arial"/>
        </w:rPr>
        <w:t>and higher spend on storm damage over the winter period</w:t>
      </w:r>
      <w:r w:rsidR="00B327DE">
        <w:rPr>
          <w:rFonts w:ascii="Arial" w:hAnsi="Arial" w:cs="Arial"/>
        </w:rPr>
        <w:t>, and additional plant and PPE costs</w:t>
      </w:r>
      <w:r w:rsidR="00E32253">
        <w:rPr>
          <w:rFonts w:ascii="Arial" w:hAnsi="Arial" w:cs="Arial"/>
        </w:rPr>
        <w:t xml:space="preserve"> due to the pandemic</w:t>
      </w:r>
      <w:r w:rsidR="002A64B0" w:rsidRPr="00626DB7">
        <w:rPr>
          <w:rFonts w:ascii="Arial" w:hAnsi="Arial" w:cs="Arial"/>
        </w:rPr>
        <w:t>. </w:t>
      </w:r>
    </w:p>
    <w:p w14:paraId="64A973D2" w14:textId="77777777" w:rsidR="00BC1490" w:rsidRPr="00626DB7" w:rsidRDefault="00162F2E" w:rsidP="00626DB7">
      <w:pPr>
        <w:autoSpaceDE/>
        <w:autoSpaceDN/>
        <w:adjustRightInd/>
        <w:spacing w:after="0"/>
        <w:contextualSpacing/>
        <w:textAlignment w:val="baseline"/>
        <w:rPr>
          <w:rFonts w:eastAsia="Times New Roman" w:cs="Arial"/>
          <w:color w:val="auto"/>
          <w:lang w:eastAsia="en-GB"/>
        </w:rPr>
      </w:pPr>
      <w:r w:rsidRPr="00BC1490">
        <w:rPr>
          <w:rFonts w:eastAsia="Times New Roman" w:cs="Arial"/>
          <w:color w:val="auto"/>
          <w:lang w:eastAsia="en-GB"/>
        </w:rPr>
        <w:t> </w:t>
      </w:r>
    </w:p>
    <w:p w14:paraId="53CD22B8" w14:textId="77777777" w:rsidR="0082685A" w:rsidRDefault="00162F2E" w:rsidP="0082685A">
      <w:pPr>
        <w:spacing w:after="0"/>
        <w:contextualSpacing/>
        <w:rPr>
          <w:rFonts w:cs="Arial"/>
        </w:rPr>
      </w:pPr>
      <w:r w:rsidRPr="007708A8">
        <w:rPr>
          <w:rFonts w:cs="Arial"/>
        </w:rPr>
        <w:t xml:space="preserve">The </w:t>
      </w:r>
      <w:r>
        <w:rPr>
          <w:rFonts w:cs="Arial"/>
        </w:rPr>
        <w:t>outturn</w:t>
      </w:r>
      <w:r w:rsidRPr="007708A8">
        <w:rPr>
          <w:rFonts w:cs="Arial"/>
        </w:rPr>
        <w:t xml:space="preserve"> has </w:t>
      </w:r>
      <w:r>
        <w:rPr>
          <w:rFonts w:cs="Arial"/>
        </w:rPr>
        <w:t>improved</w:t>
      </w:r>
      <w:r w:rsidRPr="007708A8">
        <w:rPr>
          <w:rFonts w:cs="Arial"/>
        </w:rPr>
        <w:t xml:space="preserve"> by £</w:t>
      </w:r>
      <w:r>
        <w:rPr>
          <w:rFonts w:cs="Arial"/>
        </w:rPr>
        <w:t>752,000</w:t>
      </w:r>
      <w:r w:rsidRPr="007708A8">
        <w:rPr>
          <w:rFonts w:cs="Arial"/>
        </w:rPr>
        <w:t xml:space="preserve"> compared to </w:t>
      </w:r>
      <w:r>
        <w:rPr>
          <w:rFonts w:cs="Arial"/>
        </w:rPr>
        <w:t>quarter 3</w:t>
      </w:r>
      <w:r w:rsidRPr="007708A8">
        <w:rPr>
          <w:rFonts w:cs="Arial"/>
        </w:rPr>
        <w:t xml:space="preserve"> due to</w:t>
      </w:r>
      <w:r>
        <w:rPr>
          <w:rFonts w:cs="Arial"/>
        </w:rPr>
        <w:t xml:space="preserve"> a number of </w:t>
      </w:r>
      <w:r w:rsidR="001F0CEB">
        <w:rPr>
          <w:rFonts w:cs="Arial"/>
        </w:rPr>
        <w:t>changes</w:t>
      </w:r>
      <w:r w:rsidR="001F0CEB" w:rsidRPr="00956850">
        <w:rPr>
          <w:rFonts w:cs="Arial"/>
        </w:rPr>
        <w:t xml:space="preserve"> </w:t>
      </w:r>
      <w:r>
        <w:rPr>
          <w:rFonts w:cs="Arial"/>
        </w:rPr>
        <w:t>across the service the most significant being reduced under recovery on income</w:t>
      </w:r>
      <w:r w:rsidR="002F24D3">
        <w:rPr>
          <w:rFonts w:cs="Arial"/>
        </w:rPr>
        <w:t>.</w:t>
      </w:r>
      <w:r>
        <w:rPr>
          <w:rFonts w:cs="Arial"/>
        </w:rPr>
        <w:t xml:space="preserve"> </w:t>
      </w:r>
    </w:p>
    <w:p w14:paraId="7FB9C81A" w14:textId="77777777" w:rsidR="0082685A" w:rsidRPr="00BC1490" w:rsidRDefault="0082685A" w:rsidP="00626DB7">
      <w:pPr>
        <w:autoSpaceDE/>
        <w:autoSpaceDN/>
        <w:adjustRightInd/>
        <w:spacing w:after="0"/>
        <w:contextualSpacing/>
        <w:textAlignment w:val="baseline"/>
        <w:rPr>
          <w:rFonts w:ascii="Segoe UI" w:eastAsia="Times New Roman" w:hAnsi="Segoe UI" w:cs="Segoe UI"/>
          <w:color w:val="auto"/>
          <w:sz w:val="18"/>
          <w:szCs w:val="18"/>
          <w:lang w:eastAsia="en-GB"/>
        </w:rPr>
      </w:pPr>
    </w:p>
    <w:p w14:paraId="153E96CB"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b/>
          <w:bCs/>
          <w:color w:val="auto"/>
          <w:lang w:eastAsia="en-GB"/>
        </w:rPr>
        <w:t>Public and Integrated Transport (PIT)</w:t>
      </w:r>
      <w:r w:rsidR="00E53919">
        <w:rPr>
          <w:rFonts w:eastAsia="Times New Roman" w:cs="Arial"/>
          <w:b/>
          <w:bCs/>
          <w:color w:val="auto"/>
          <w:lang w:eastAsia="en-GB"/>
        </w:rPr>
        <w:t>-</w:t>
      </w:r>
      <w:r w:rsidRPr="00BC1490">
        <w:rPr>
          <w:rFonts w:eastAsia="Times New Roman" w:cs="Arial"/>
          <w:b/>
          <w:bCs/>
          <w:color w:val="auto"/>
          <w:lang w:eastAsia="en-GB"/>
        </w:rPr>
        <w:t>Underspend £</w:t>
      </w:r>
      <w:r w:rsidR="00E53919">
        <w:rPr>
          <w:rFonts w:eastAsia="Times New Roman" w:cs="Arial"/>
          <w:b/>
          <w:bCs/>
          <w:color w:val="auto"/>
          <w:lang w:eastAsia="en-GB"/>
        </w:rPr>
        <w:t>1.310m</w:t>
      </w:r>
      <w:r w:rsidR="001670B6">
        <w:rPr>
          <w:rFonts w:eastAsia="Times New Roman" w:cs="Arial"/>
          <w:b/>
          <w:bCs/>
          <w:color w:val="auto"/>
          <w:lang w:eastAsia="en-GB"/>
        </w:rPr>
        <w:t xml:space="preserve">                                                                                                                                                                                                                                                                                                                                                                                                                                          </w:t>
      </w:r>
      <w:r w:rsidR="00E53919">
        <w:rPr>
          <w:rFonts w:eastAsia="Times New Roman" w:cs="Arial"/>
          <w:b/>
          <w:bCs/>
          <w:color w:val="auto"/>
          <w:lang w:eastAsia="en-GB"/>
        </w:rPr>
        <w:t xml:space="preserve">                                                                                                                                                                                                                                        </w:t>
      </w:r>
    </w:p>
    <w:p w14:paraId="1D2B9B47"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color w:val="auto"/>
          <w:lang w:eastAsia="en-GB"/>
        </w:rPr>
        <w:t> </w:t>
      </w:r>
    </w:p>
    <w:p w14:paraId="2CF0A8BE"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color w:val="auto"/>
          <w:lang w:eastAsia="en-GB"/>
        </w:rPr>
        <w:t xml:space="preserve">Most parts of the public and integrated transport budget have been impacted by the pandemic to some degree in 2021/22.  The most significant variances are </w:t>
      </w:r>
      <w:r w:rsidR="00C54B17">
        <w:rPr>
          <w:rFonts w:eastAsia="Times New Roman" w:cs="Arial"/>
          <w:color w:val="auto"/>
          <w:lang w:eastAsia="en-GB"/>
        </w:rPr>
        <w:t>explained</w:t>
      </w:r>
      <w:r w:rsidR="00C54B17" w:rsidRPr="00BC1490">
        <w:rPr>
          <w:rFonts w:eastAsia="Times New Roman" w:cs="Arial"/>
          <w:color w:val="auto"/>
          <w:lang w:eastAsia="en-GB"/>
        </w:rPr>
        <w:t xml:space="preserve"> </w:t>
      </w:r>
      <w:r w:rsidRPr="00BC1490">
        <w:rPr>
          <w:rFonts w:eastAsia="Times New Roman" w:cs="Arial"/>
          <w:color w:val="auto"/>
          <w:lang w:eastAsia="en-GB"/>
        </w:rPr>
        <w:t>below. </w:t>
      </w:r>
    </w:p>
    <w:p w14:paraId="27865279"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color w:val="auto"/>
          <w:lang w:eastAsia="en-GB"/>
        </w:rPr>
        <w:t> </w:t>
      </w:r>
    </w:p>
    <w:p w14:paraId="6716B070" w14:textId="77777777" w:rsidR="00BC1490" w:rsidRPr="0026517A" w:rsidRDefault="00162F2E" w:rsidP="00626DB7">
      <w:pPr>
        <w:autoSpaceDE/>
        <w:autoSpaceDN/>
        <w:adjustRightInd/>
        <w:spacing w:after="0"/>
        <w:textAlignment w:val="baseline"/>
        <w:rPr>
          <w:rFonts w:eastAsia="Times New Roman" w:cs="Arial"/>
          <w:color w:val="auto"/>
          <w:lang w:eastAsia="en-GB"/>
        </w:rPr>
      </w:pPr>
      <w:r>
        <w:rPr>
          <w:rFonts w:eastAsia="Times New Roman" w:cs="Arial"/>
          <w:color w:val="auto"/>
          <w:lang w:eastAsia="en-GB"/>
        </w:rPr>
        <w:t>Underspends of c£1.212m relate to s</w:t>
      </w:r>
      <w:r w:rsidRPr="00626DB7">
        <w:rPr>
          <w:rFonts w:eastAsia="Times New Roman" w:cs="Arial"/>
          <w:color w:val="auto"/>
          <w:lang w:eastAsia="en-GB"/>
        </w:rPr>
        <w:t>chool transport costs</w:t>
      </w:r>
      <w:r w:rsidR="00C87541">
        <w:rPr>
          <w:rFonts w:eastAsia="Times New Roman" w:cs="Arial"/>
          <w:color w:val="auto"/>
          <w:lang w:eastAsia="en-GB"/>
        </w:rPr>
        <w:t xml:space="preserve"> </w:t>
      </w:r>
      <w:r w:rsidR="00F04E35">
        <w:rPr>
          <w:rFonts w:eastAsia="Times New Roman" w:cs="Arial"/>
          <w:color w:val="auto"/>
          <w:lang w:eastAsia="en-GB"/>
        </w:rPr>
        <w:t xml:space="preserve">mainly </w:t>
      </w:r>
      <w:r w:rsidR="00C87541">
        <w:rPr>
          <w:rFonts w:eastAsia="Times New Roman" w:cs="Arial"/>
          <w:color w:val="auto"/>
          <w:lang w:eastAsia="en-GB"/>
        </w:rPr>
        <w:t xml:space="preserve">due to </w:t>
      </w:r>
      <w:r w:rsidR="004603BA">
        <w:rPr>
          <w:rFonts w:eastAsia="Times New Roman" w:cs="Arial"/>
          <w:color w:val="auto"/>
          <w:lang w:eastAsia="en-GB"/>
        </w:rPr>
        <w:t>smaller than expected increases in taxi costs</w:t>
      </w:r>
      <w:r w:rsidR="00BD1502">
        <w:rPr>
          <w:rFonts w:eastAsia="Times New Roman" w:cs="Arial"/>
          <w:color w:val="auto"/>
          <w:lang w:eastAsia="en-GB"/>
        </w:rPr>
        <w:t xml:space="preserve"> in the early part of the year particularly for excluded pupils</w:t>
      </w:r>
      <w:r w:rsidR="007812CC">
        <w:rPr>
          <w:rFonts w:eastAsia="Times New Roman" w:cs="Arial"/>
          <w:color w:val="auto"/>
          <w:lang w:eastAsia="en-GB"/>
        </w:rPr>
        <w:t xml:space="preserve"> and </w:t>
      </w:r>
      <w:r w:rsidRPr="00626DB7">
        <w:rPr>
          <w:rFonts w:eastAsia="Times New Roman" w:cs="Arial"/>
          <w:color w:val="auto"/>
          <w:lang w:eastAsia="en-GB"/>
        </w:rPr>
        <w:t>enhanced terms for payments to parents generat</w:t>
      </w:r>
      <w:r w:rsidR="007812CC">
        <w:rPr>
          <w:rFonts w:eastAsia="Times New Roman" w:cs="Arial"/>
          <w:color w:val="auto"/>
          <w:lang w:eastAsia="en-GB"/>
        </w:rPr>
        <w:t>ing</w:t>
      </w:r>
      <w:r w:rsidRPr="006B1E5F">
        <w:rPr>
          <w:rFonts w:eastAsia="Times New Roman" w:cs="Arial"/>
          <w:color w:val="auto"/>
          <w:lang w:eastAsia="en-GB"/>
        </w:rPr>
        <w:t xml:space="preserve"> savings </w:t>
      </w:r>
      <w:r w:rsidR="007812CC">
        <w:rPr>
          <w:rFonts w:eastAsia="Times New Roman" w:cs="Arial"/>
          <w:color w:val="auto"/>
          <w:lang w:eastAsia="en-GB"/>
        </w:rPr>
        <w:t xml:space="preserve">of </w:t>
      </w:r>
      <w:r w:rsidRPr="006B1E5F">
        <w:rPr>
          <w:rFonts w:eastAsia="Times New Roman" w:cs="Arial"/>
          <w:color w:val="auto"/>
          <w:lang w:eastAsia="en-GB"/>
        </w:rPr>
        <w:t xml:space="preserve">more than £700,000. Due to the pandemic and resulting uncertainty around delivery of savings, £1.800m of previously agreed savings </w:t>
      </w:r>
      <w:r w:rsidR="002235C3">
        <w:rPr>
          <w:rFonts w:eastAsia="Times New Roman" w:cs="Arial"/>
          <w:color w:val="auto"/>
          <w:lang w:eastAsia="en-GB"/>
        </w:rPr>
        <w:t>were</w:t>
      </w:r>
      <w:r w:rsidRPr="006B1E5F">
        <w:rPr>
          <w:rFonts w:eastAsia="Times New Roman" w:cs="Arial"/>
          <w:color w:val="auto"/>
          <w:lang w:eastAsia="en-GB"/>
        </w:rPr>
        <w:t xml:space="preserve"> reprofiled and a</w:t>
      </w:r>
      <w:r w:rsidRPr="0026517A">
        <w:rPr>
          <w:rFonts w:eastAsia="Times New Roman" w:cs="Arial"/>
          <w:color w:val="auto"/>
          <w:lang w:eastAsia="en-GB"/>
        </w:rPr>
        <w:t>dded back to the budget in 2021/22 but are due to be delivered in 2022/23. </w:t>
      </w:r>
    </w:p>
    <w:p w14:paraId="6C7BB9A3" w14:textId="77777777" w:rsidR="00853DDF" w:rsidRPr="00A90330" w:rsidRDefault="00853DDF" w:rsidP="00626DB7">
      <w:pPr>
        <w:pStyle w:val="ListParagraph"/>
        <w:autoSpaceDE/>
        <w:autoSpaceDN/>
        <w:adjustRightInd/>
        <w:spacing w:after="0"/>
        <w:ind w:left="360"/>
        <w:textAlignment w:val="baseline"/>
        <w:rPr>
          <w:rFonts w:eastAsia="Times New Roman" w:cs="Arial"/>
          <w:color w:val="auto"/>
          <w:lang w:eastAsia="en-GB"/>
        </w:rPr>
      </w:pPr>
    </w:p>
    <w:p w14:paraId="618D9334" w14:textId="77777777" w:rsidR="00853DDF" w:rsidRDefault="00162F2E" w:rsidP="00642697">
      <w:pPr>
        <w:autoSpaceDE/>
        <w:autoSpaceDN/>
        <w:adjustRightInd/>
        <w:spacing w:after="0"/>
        <w:textAlignment w:val="baseline"/>
        <w:rPr>
          <w:rFonts w:cs="Arial"/>
        </w:rPr>
      </w:pPr>
      <w:r w:rsidRPr="00626DB7">
        <w:rPr>
          <w:rFonts w:eastAsia="Times New Roman" w:cs="Arial"/>
          <w:color w:val="auto"/>
          <w:lang w:eastAsia="en-GB"/>
        </w:rPr>
        <w:t xml:space="preserve">Overspends of £590,000 relate to fleet services. </w:t>
      </w:r>
      <w:r w:rsidR="00642697">
        <w:rPr>
          <w:rFonts w:cs="Arial"/>
        </w:rPr>
        <w:t xml:space="preserve">There was a lower percentage of productive hours worked than before the pandemic partly due to ensuring staff were following </w:t>
      </w:r>
      <w:r w:rsidR="0026517A">
        <w:rPr>
          <w:rFonts w:cs="Arial"/>
        </w:rPr>
        <w:t>C</w:t>
      </w:r>
      <w:r w:rsidR="00626DB7">
        <w:rPr>
          <w:rFonts w:cs="Arial"/>
        </w:rPr>
        <w:t>ovid-19</w:t>
      </w:r>
      <w:r w:rsidR="00642697">
        <w:rPr>
          <w:rFonts w:cs="Arial"/>
        </w:rPr>
        <w:t xml:space="preserve"> safety guidelines particularly in the early part of the year. </w:t>
      </w:r>
    </w:p>
    <w:p w14:paraId="0F552ECD" w14:textId="77777777" w:rsidR="00642697" w:rsidRPr="00A6673C" w:rsidRDefault="00642697" w:rsidP="00626DB7">
      <w:pPr>
        <w:autoSpaceDE/>
        <w:autoSpaceDN/>
        <w:adjustRightInd/>
        <w:spacing w:after="0"/>
        <w:textAlignment w:val="baseline"/>
        <w:rPr>
          <w:rFonts w:eastAsia="Times New Roman" w:cs="Arial"/>
          <w:color w:val="auto"/>
          <w:lang w:eastAsia="en-GB"/>
        </w:rPr>
      </w:pPr>
    </w:p>
    <w:p w14:paraId="51F11A15" w14:textId="77777777" w:rsidR="00BC1490" w:rsidRPr="0026517A" w:rsidRDefault="00162F2E" w:rsidP="00626DB7">
      <w:pPr>
        <w:autoSpaceDE/>
        <w:autoSpaceDN/>
        <w:adjustRightInd/>
        <w:spacing w:after="0"/>
        <w:textAlignment w:val="baseline"/>
        <w:rPr>
          <w:rFonts w:ascii="Segoe UI" w:eastAsia="Times New Roman" w:hAnsi="Segoe UI" w:cs="Segoe UI"/>
          <w:color w:val="auto"/>
          <w:sz w:val="18"/>
          <w:szCs w:val="18"/>
          <w:lang w:eastAsia="en-GB"/>
        </w:rPr>
      </w:pPr>
      <w:r w:rsidRPr="006B1E5F">
        <w:rPr>
          <w:rFonts w:eastAsia="Times New Roman" w:cs="Arial"/>
          <w:color w:val="auto"/>
          <w:lang w:eastAsia="en-GB"/>
        </w:rPr>
        <w:t xml:space="preserve">Bus stations overspent by £168,000 following a decision to hold the departure fee at 75p per departure in 2021/22 rather than apply the previously agreed increase to 85p, pending further discussions </w:t>
      </w:r>
      <w:r w:rsidRPr="0026517A">
        <w:rPr>
          <w:rFonts w:eastAsia="Times New Roman" w:cs="Arial"/>
          <w:color w:val="auto"/>
          <w:lang w:eastAsia="en-GB"/>
        </w:rPr>
        <w:t>with operators. </w:t>
      </w:r>
    </w:p>
    <w:p w14:paraId="29826688" w14:textId="77777777" w:rsidR="00853DDF" w:rsidRPr="00626DB7" w:rsidRDefault="00853DDF" w:rsidP="00626DB7">
      <w:pPr>
        <w:autoSpaceDE/>
        <w:autoSpaceDN/>
        <w:adjustRightInd/>
        <w:spacing w:after="0"/>
        <w:textAlignment w:val="baseline"/>
        <w:rPr>
          <w:rFonts w:ascii="Segoe UI" w:eastAsia="Times New Roman" w:hAnsi="Segoe UI" w:cs="Segoe UI"/>
          <w:color w:val="auto"/>
          <w:sz w:val="18"/>
          <w:szCs w:val="18"/>
          <w:lang w:eastAsia="en-GB"/>
        </w:rPr>
      </w:pPr>
    </w:p>
    <w:p w14:paraId="0AA42D27" w14:textId="77777777" w:rsidR="00BC1490" w:rsidRPr="00626DB7" w:rsidRDefault="00162F2E" w:rsidP="00626DB7">
      <w:pPr>
        <w:autoSpaceDE/>
        <w:autoSpaceDN/>
        <w:adjustRightInd/>
        <w:spacing w:after="0"/>
        <w:textAlignment w:val="baseline"/>
        <w:rPr>
          <w:rFonts w:ascii="Segoe UI" w:eastAsia="Times New Roman" w:hAnsi="Segoe UI" w:cs="Segoe UI"/>
          <w:color w:val="auto"/>
          <w:sz w:val="18"/>
          <w:szCs w:val="18"/>
          <w:lang w:eastAsia="en-GB"/>
        </w:rPr>
      </w:pPr>
      <w:r w:rsidRPr="006B1E5F">
        <w:rPr>
          <w:rFonts w:eastAsia="Times New Roman" w:cs="Arial"/>
          <w:color w:val="auto"/>
          <w:lang w:eastAsia="en-GB"/>
        </w:rPr>
        <w:t xml:space="preserve">Public bus services underspent by £1.367m. As part of a budget amendment agreed in 2020/21 an additional £3.000m was added to the budget. In addition, the council has received </w:t>
      </w:r>
      <w:r w:rsidR="00882049">
        <w:rPr>
          <w:rFonts w:eastAsia="Times New Roman" w:cs="Arial"/>
          <w:color w:val="auto"/>
          <w:lang w:eastAsia="en-GB"/>
        </w:rPr>
        <w:t>additional</w:t>
      </w:r>
      <w:r w:rsidR="003576AD" w:rsidRPr="006B1E5F">
        <w:rPr>
          <w:rFonts w:eastAsia="Times New Roman" w:cs="Arial"/>
          <w:color w:val="auto"/>
          <w:lang w:eastAsia="en-GB"/>
        </w:rPr>
        <w:t xml:space="preserve"> </w:t>
      </w:r>
      <w:r w:rsidRPr="00626DB7">
        <w:rPr>
          <w:rFonts w:eastAsia="Times New Roman" w:cs="Arial"/>
          <w:color w:val="auto"/>
          <w:lang w:eastAsia="en-GB"/>
        </w:rPr>
        <w:t>S106 funding to fund services and grant funding to help fund the shortfall in fares revenue due to the pandemic. Whilst additional services have been added the budget has not been fully spent during 2021/22.</w:t>
      </w:r>
    </w:p>
    <w:p w14:paraId="5764D80E" w14:textId="77777777" w:rsidR="00853DDF" w:rsidRPr="003576AD" w:rsidRDefault="00853DDF" w:rsidP="00626DB7">
      <w:pPr>
        <w:pStyle w:val="ListParagraph"/>
        <w:autoSpaceDE/>
        <w:autoSpaceDN/>
        <w:adjustRightInd/>
        <w:spacing w:after="0"/>
        <w:ind w:left="360"/>
        <w:textAlignment w:val="baseline"/>
        <w:rPr>
          <w:rFonts w:ascii="Segoe UI" w:eastAsia="Times New Roman" w:hAnsi="Segoe UI" w:cs="Segoe UI"/>
          <w:color w:val="auto"/>
          <w:sz w:val="18"/>
          <w:szCs w:val="18"/>
          <w:lang w:eastAsia="en-GB"/>
        </w:rPr>
      </w:pPr>
    </w:p>
    <w:p w14:paraId="52C17557" w14:textId="77777777" w:rsidR="00BC1490" w:rsidRPr="00626DB7" w:rsidRDefault="00162F2E" w:rsidP="00626DB7">
      <w:pPr>
        <w:autoSpaceDE/>
        <w:autoSpaceDN/>
        <w:adjustRightInd/>
        <w:spacing w:after="0"/>
        <w:textAlignment w:val="baseline"/>
        <w:rPr>
          <w:rFonts w:ascii="Segoe UI" w:eastAsia="Times New Roman" w:hAnsi="Segoe UI" w:cs="Segoe UI"/>
          <w:color w:val="auto"/>
          <w:sz w:val="18"/>
          <w:szCs w:val="18"/>
          <w:lang w:eastAsia="en-GB"/>
        </w:rPr>
      </w:pPr>
      <w:r w:rsidRPr="006B1E5F">
        <w:rPr>
          <w:rFonts w:eastAsia="Times New Roman" w:cs="Arial"/>
          <w:color w:val="auto"/>
          <w:lang w:eastAsia="en-GB"/>
        </w:rPr>
        <w:t xml:space="preserve">Concessionary travel underspent by £1.582m. Throughout </w:t>
      </w:r>
      <w:r w:rsidRPr="00626DB7">
        <w:rPr>
          <w:rFonts w:eastAsia="Times New Roman" w:cs="Arial"/>
          <w:color w:val="auto"/>
          <w:lang w:eastAsia="en-GB"/>
        </w:rPr>
        <w:t xml:space="preserve">2021/22 payments to bus operators continued to be made based of historic passenger data as numbers are still significantly lower than before the pandemic. </w:t>
      </w:r>
    </w:p>
    <w:p w14:paraId="62BF65CB" w14:textId="77777777" w:rsidR="00BC1490" w:rsidRDefault="00162F2E" w:rsidP="00853DDF">
      <w:pPr>
        <w:autoSpaceDE/>
        <w:autoSpaceDN/>
        <w:adjustRightInd/>
        <w:spacing w:after="0"/>
        <w:contextualSpacing/>
        <w:textAlignment w:val="baseline"/>
        <w:rPr>
          <w:rFonts w:eastAsia="Times New Roman" w:cs="Arial"/>
          <w:color w:val="auto"/>
          <w:lang w:eastAsia="en-GB"/>
        </w:rPr>
      </w:pPr>
      <w:r w:rsidRPr="00BC1490">
        <w:rPr>
          <w:rFonts w:eastAsia="Times New Roman" w:cs="Arial"/>
          <w:color w:val="auto"/>
          <w:lang w:eastAsia="en-GB"/>
        </w:rPr>
        <w:t> </w:t>
      </w:r>
    </w:p>
    <w:p w14:paraId="63B0F8C2" w14:textId="77777777" w:rsidR="00876A65" w:rsidRDefault="00162F2E" w:rsidP="00C67F28">
      <w:pPr>
        <w:autoSpaceDE/>
        <w:autoSpaceDN/>
        <w:adjustRightInd/>
        <w:spacing w:after="0"/>
        <w:rPr>
          <w:rFonts w:cs="Arial"/>
          <w:bCs/>
        </w:rPr>
      </w:pPr>
      <w:r w:rsidRPr="00DA63A3">
        <w:rPr>
          <w:rFonts w:cs="Arial"/>
          <w:bCs/>
        </w:rPr>
        <w:t xml:space="preserve">Due to risks around increases in fuel costs and </w:t>
      </w:r>
      <w:r w:rsidR="00927FCC">
        <w:rPr>
          <w:rFonts w:cs="Arial"/>
          <w:bCs/>
        </w:rPr>
        <w:t>re</w:t>
      </w:r>
      <w:r w:rsidR="00AB5E12">
        <w:rPr>
          <w:rFonts w:cs="Arial"/>
          <w:bCs/>
        </w:rPr>
        <w:t xml:space="preserve">duced taxi provision in </w:t>
      </w:r>
      <w:r w:rsidR="00FB01F2">
        <w:rPr>
          <w:rFonts w:cs="Arial"/>
          <w:bCs/>
        </w:rPr>
        <w:t xml:space="preserve">the </w:t>
      </w:r>
      <w:r w:rsidR="00AB5E12">
        <w:rPr>
          <w:rFonts w:cs="Arial"/>
          <w:bCs/>
        </w:rPr>
        <w:t>marketplace</w:t>
      </w:r>
      <w:r w:rsidR="000B2F7C">
        <w:rPr>
          <w:rFonts w:cs="Arial"/>
          <w:bCs/>
        </w:rPr>
        <w:t>,</w:t>
      </w:r>
      <w:r w:rsidR="00BD5F87">
        <w:rPr>
          <w:rFonts w:cs="Arial"/>
          <w:bCs/>
        </w:rPr>
        <w:t xml:space="preserve"> and</w:t>
      </w:r>
      <w:r w:rsidRPr="00DA63A3">
        <w:rPr>
          <w:rFonts w:cs="Arial"/>
          <w:bCs/>
        </w:rPr>
        <w:t xml:space="preserve"> </w:t>
      </w:r>
      <w:r w:rsidR="00FB01F2">
        <w:rPr>
          <w:rFonts w:cs="Arial"/>
          <w:bCs/>
        </w:rPr>
        <w:t xml:space="preserve">the </w:t>
      </w:r>
      <w:r w:rsidR="00156DF9">
        <w:rPr>
          <w:rFonts w:cs="Arial"/>
          <w:bCs/>
        </w:rPr>
        <w:t>resulting</w:t>
      </w:r>
      <w:r w:rsidR="00FB01F2">
        <w:rPr>
          <w:rFonts w:cs="Arial"/>
          <w:bCs/>
        </w:rPr>
        <w:t xml:space="preserve"> </w:t>
      </w:r>
      <w:r w:rsidRPr="00DA63A3">
        <w:rPr>
          <w:rFonts w:cs="Arial"/>
          <w:bCs/>
        </w:rPr>
        <w:t>impact on taxi</w:t>
      </w:r>
      <w:r w:rsidRPr="009412D6">
        <w:rPr>
          <w:rFonts w:cs="Arial"/>
          <w:bCs/>
        </w:rPr>
        <w:t>, school and tendered bus contracts</w:t>
      </w:r>
      <w:r w:rsidR="00C37259">
        <w:rPr>
          <w:rFonts w:cs="Arial"/>
          <w:bCs/>
        </w:rPr>
        <w:t>,</w:t>
      </w:r>
      <w:r w:rsidRPr="00DA63A3">
        <w:rPr>
          <w:rFonts w:cs="Arial"/>
          <w:bCs/>
        </w:rPr>
        <w:t xml:space="preserve"> a provision has been made</w:t>
      </w:r>
      <w:r w:rsidRPr="009412D6">
        <w:rPr>
          <w:rFonts w:cs="Arial"/>
          <w:bCs/>
        </w:rPr>
        <w:t xml:space="preserve"> for c£2</w:t>
      </w:r>
      <w:r w:rsidRPr="005C2CBE">
        <w:rPr>
          <w:rFonts w:cs="Arial"/>
          <w:bCs/>
        </w:rPr>
        <w:t>.100m</w:t>
      </w:r>
      <w:r w:rsidRPr="003866DC">
        <w:rPr>
          <w:rFonts w:cs="Arial"/>
          <w:bCs/>
        </w:rPr>
        <w:t xml:space="preserve"> to cover these risks in 2022/23.</w:t>
      </w:r>
      <w:r w:rsidRPr="006B1E5F">
        <w:rPr>
          <w:rFonts w:cs="Arial"/>
          <w:bCs/>
        </w:rPr>
        <w:t xml:space="preserve"> </w:t>
      </w:r>
    </w:p>
    <w:p w14:paraId="1744066B" w14:textId="77777777" w:rsidR="00801970" w:rsidRDefault="00801970" w:rsidP="00D5381E">
      <w:pPr>
        <w:spacing w:after="0"/>
        <w:contextualSpacing/>
        <w:rPr>
          <w:rFonts w:cs="Arial"/>
        </w:rPr>
      </w:pPr>
    </w:p>
    <w:p w14:paraId="27B6E57A" w14:textId="77777777" w:rsidR="00D5381E" w:rsidRDefault="00162F2E" w:rsidP="00D5381E">
      <w:pPr>
        <w:spacing w:after="0"/>
        <w:contextualSpacing/>
        <w:rPr>
          <w:rFonts w:cs="Arial"/>
        </w:rPr>
      </w:pPr>
      <w:r w:rsidRPr="003E4A76">
        <w:rPr>
          <w:rFonts w:cs="Arial"/>
        </w:rPr>
        <w:t xml:space="preserve">The </w:t>
      </w:r>
      <w:r>
        <w:rPr>
          <w:rFonts w:cs="Arial"/>
        </w:rPr>
        <w:t>outturn</w:t>
      </w:r>
      <w:r w:rsidRPr="003E4A76">
        <w:rPr>
          <w:rFonts w:cs="Arial"/>
        </w:rPr>
        <w:t xml:space="preserve"> has </w:t>
      </w:r>
      <w:r>
        <w:rPr>
          <w:rFonts w:cs="Arial"/>
        </w:rPr>
        <w:t xml:space="preserve">worsened by £1.568m </w:t>
      </w:r>
      <w:r w:rsidRPr="003E4A76">
        <w:rPr>
          <w:rFonts w:cs="Arial"/>
        </w:rPr>
        <w:t xml:space="preserve">compared to </w:t>
      </w:r>
      <w:r>
        <w:rPr>
          <w:rFonts w:cs="Arial"/>
        </w:rPr>
        <w:t>quarter 3</w:t>
      </w:r>
      <w:r w:rsidRPr="003E4A76">
        <w:rPr>
          <w:rFonts w:cs="Arial"/>
        </w:rPr>
        <w:t xml:space="preserve"> </w:t>
      </w:r>
      <w:r>
        <w:rPr>
          <w:rFonts w:cs="Arial"/>
        </w:rPr>
        <w:t xml:space="preserve">predominantly due to the provision relating to fuel costs partly offset by small changes across the service the most significant relating to public bus services. </w:t>
      </w:r>
    </w:p>
    <w:p w14:paraId="2E8E5269" w14:textId="0BA6A4A4" w:rsidR="00D5381E" w:rsidRDefault="00D5381E" w:rsidP="00626DB7">
      <w:pPr>
        <w:autoSpaceDE/>
        <w:autoSpaceDN/>
        <w:adjustRightInd/>
        <w:spacing w:after="0"/>
        <w:contextualSpacing/>
        <w:textAlignment w:val="baseline"/>
        <w:rPr>
          <w:rFonts w:ascii="Segoe UI" w:eastAsia="Times New Roman" w:hAnsi="Segoe UI" w:cs="Segoe UI"/>
          <w:color w:val="auto"/>
          <w:sz w:val="18"/>
          <w:szCs w:val="18"/>
          <w:lang w:eastAsia="en-GB"/>
        </w:rPr>
      </w:pPr>
    </w:p>
    <w:p w14:paraId="1306D19E" w14:textId="07A44A0E" w:rsidR="00642D26" w:rsidRDefault="00642D26" w:rsidP="00626DB7">
      <w:pPr>
        <w:autoSpaceDE/>
        <w:autoSpaceDN/>
        <w:adjustRightInd/>
        <w:spacing w:after="0"/>
        <w:contextualSpacing/>
        <w:textAlignment w:val="baseline"/>
        <w:rPr>
          <w:rFonts w:ascii="Segoe UI" w:eastAsia="Times New Roman" w:hAnsi="Segoe UI" w:cs="Segoe UI"/>
          <w:color w:val="auto"/>
          <w:sz w:val="18"/>
          <w:szCs w:val="18"/>
          <w:lang w:eastAsia="en-GB"/>
        </w:rPr>
      </w:pPr>
    </w:p>
    <w:p w14:paraId="44B9C2A4" w14:textId="256CF954" w:rsidR="00642D26" w:rsidRDefault="00642D26" w:rsidP="00626DB7">
      <w:pPr>
        <w:autoSpaceDE/>
        <w:autoSpaceDN/>
        <w:adjustRightInd/>
        <w:spacing w:after="0"/>
        <w:contextualSpacing/>
        <w:textAlignment w:val="baseline"/>
        <w:rPr>
          <w:rFonts w:ascii="Segoe UI" w:eastAsia="Times New Roman" w:hAnsi="Segoe UI" w:cs="Segoe UI"/>
          <w:color w:val="auto"/>
          <w:sz w:val="18"/>
          <w:szCs w:val="18"/>
          <w:lang w:eastAsia="en-GB"/>
        </w:rPr>
      </w:pPr>
    </w:p>
    <w:p w14:paraId="60A5C6A2" w14:textId="52C21AC1" w:rsidR="00642D26" w:rsidRDefault="00642D26" w:rsidP="00626DB7">
      <w:pPr>
        <w:autoSpaceDE/>
        <w:autoSpaceDN/>
        <w:adjustRightInd/>
        <w:spacing w:after="0"/>
        <w:contextualSpacing/>
        <w:textAlignment w:val="baseline"/>
        <w:rPr>
          <w:rFonts w:ascii="Segoe UI" w:eastAsia="Times New Roman" w:hAnsi="Segoe UI" w:cs="Segoe UI"/>
          <w:color w:val="auto"/>
          <w:sz w:val="18"/>
          <w:szCs w:val="18"/>
          <w:lang w:eastAsia="en-GB"/>
        </w:rPr>
      </w:pPr>
    </w:p>
    <w:p w14:paraId="7B893926" w14:textId="77777777" w:rsidR="00642D26" w:rsidRPr="00BC1490" w:rsidRDefault="00642D26" w:rsidP="00626DB7">
      <w:pPr>
        <w:autoSpaceDE/>
        <w:autoSpaceDN/>
        <w:adjustRightInd/>
        <w:spacing w:after="0"/>
        <w:contextualSpacing/>
        <w:textAlignment w:val="baseline"/>
        <w:rPr>
          <w:rFonts w:ascii="Segoe UI" w:eastAsia="Times New Roman" w:hAnsi="Segoe UI" w:cs="Segoe UI"/>
          <w:color w:val="auto"/>
          <w:sz w:val="18"/>
          <w:szCs w:val="18"/>
          <w:lang w:eastAsia="en-GB"/>
        </w:rPr>
      </w:pPr>
    </w:p>
    <w:p w14:paraId="24FC5EDD"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b/>
          <w:bCs/>
          <w:color w:val="auto"/>
          <w:lang w:eastAsia="en-GB"/>
        </w:rPr>
        <w:lastRenderedPageBreak/>
        <w:t>Design and Construction (D&amp;C) – Overspend £4.068m</w:t>
      </w:r>
      <w:r w:rsidRPr="00BC1490">
        <w:rPr>
          <w:rFonts w:eastAsia="Times New Roman" w:cs="Arial"/>
          <w:color w:val="auto"/>
          <w:lang w:eastAsia="en-GB"/>
        </w:rPr>
        <w:t> </w:t>
      </w:r>
    </w:p>
    <w:p w14:paraId="00CFFA2A"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color w:val="auto"/>
          <w:lang w:eastAsia="en-GB"/>
        </w:rPr>
        <w:t> </w:t>
      </w:r>
    </w:p>
    <w:p w14:paraId="45BCC160"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color w:val="auto"/>
          <w:lang w:eastAsia="en-GB"/>
        </w:rPr>
        <w:t>Design and Construction property service overspent by £3.769m, of which £2.192m relates to work required at Barnoldswick Church of England Primary School to replace a roof which has failed due to a build-up of condensation within the roof structure</w:t>
      </w:r>
      <w:r w:rsidR="002F0B7B">
        <w:rPr>
          <w:rFonts w:eastAsia="Times New Roman" w:cs="Arial"/>
          <w:color w:val="auto"/>
          <w:lang w:eastAsia="en-GB"/>
        </w:rPr>
        <w:t xml:space="preserve">.  </w:t>
      </w:r>
      <w:r w:rsidRPr="00BC1490">
        <w:rPr>
          <w:rFonts w:eastAsia="Times New Roman" w:cs="Arial"/>
          <w:color w:val="auto"/>
          <w:lang w:eastAsia="en-GB"/>
        </w:rPr>
        <w:t xml:space="preserve">This work has not been fully completed in </w:t>
      </w:r>
      <w:r w:rsidR="00500F18">
        <w:rPr>
          <w:rFonts w:eastAsia="Times New Roman" w:cs="Arial"/>
          <w:color w:val="auto"/>
          <w:lang w:eastAsia="en-GB"/>
        </w:rPr>
        <w:t>2021/22</w:t>
      </w:r>
      <w:r w:rsidR="001F10BF">
        <w:rPr>
          <w:rFonts w:eastAsia="Times New Roman" w:cs="Arial"/>
          <w:color w:val="auto"/>
          <w:lang w:eastAsia="en-GB"/>
        </w:rPr>
        <w:t>, however,</w:t>
      </w:r>
      <w:r w:rsidRPr="00BC1490">
        <w:rPr>
          <w:rFonts w:eastAsia="Times New Roman" w:cs="Arial"/>
          <w:color w:val="auto"/>
          <w:lang w:eastAsia="en-GB"/>
        </w:rPr>
        <w:t xml:space="preserve"> a transfer to reserves to cover costs in future years is reflected in the outturn.  The remainder of the overspend relates to the number and mix of projects that the service delivered during the year and </w:t>
      </w:r>
      <w:r w:rsidR="00733167">
        <w:rPr>
          <w:rFonts w:eastAsia="Times New Roman" w:cs="Arial"/>
          <w:color w:val="auto"/>
          <w:lang w:eastAsia="en-GB"/>
        </w:rPr>
        <w:t xml:space="preserve">a lower than budgeted level of service costs charged to capital schemes.  </w:t>
      </w:r>
    </w:p>
    <w:p w14:paraId="7553487B"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color w:val="auto"/>
          <w:lang w:eastAsia="en-GB"/>
        </w:rPr>
        <w:t> </w:t>
      </w:r>
    </w:p>
    <w:p w14:paraId="17107C5D"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color w:val="auto"/>
          <w:lang w:eastAsia="en-GB"/>
        </w:rPr>
        <w:t>Design and Construction highways service overspent by £299,000. As an income generating service vacancies have resulted in staffing underspends offset by a larger under recovery of income. </w:t>
      </w:r>
    </w:p>
    <w:p w14:paraId="6E7FC1FE" w14:textId="77777777" w:rsidR="00BC1490" w:rsidRPr="00BC1490"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BC1490">
        <w:rPr>
          <w:rFonts w:eastAsia="Times New Roman" w:cs="Arial"/>
          <w:color w:val="auto"/>
          <w:lang w:eastAsia="en-GB"/>
        </w:rPr>
        <w:t> </w:t>
      </w:r>
    </w:p>
    <w:p w14:paraId="36420EAE" w14:textId="77777777" w:rsidR="00D10794" w:rsidRPr="002E6823" w:rsidRDefault="00162F2E" w:rsidP="00D10794">
      <w:pPr>
        <w:spacing w:after="0"/>
        <w:rPr>
          <w:rFonts w:eastAsia="Times New Roman" w:cs="Arial"/>
          <w:b/>
          <w:lang w:eastAsia="en-GB"/>
        </w:rPr>
      </w:pPr>
      <w:r w:rsidRPr="002E6823">
        <w:rPr>
          <w:rFonts w:eastAsia="Times New Roman" w:cs="Arial"/>
          <w:b/>
          <w:lang w:eastAsia="en-GB"/>
        </w:rPr>
        <w:t>3.7 Organisational Development and Change</w:t>
      </w:r>
    </w:p>
    <w:p w14:paraId="1F3A0826" w14:textId="77777777" w:rsidR="00480516" w:rsidRDefault="00480516" w:rsidP="00D10794">
      <w:pPr>
        <w:spacing w:after="0"/>
        <w:rPr>
          <w:rFonts w:eastAsia="Times New Roman" w:cs="Arial"/>
          <w:b/>
          <w:highlight w:val="yellow"/>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1059"/>
        <w:gridCol w:w="943"/>
        <w:gridCol w:w="979"/>
        <w:gridCol w:w="979"/>
        <w:gridCol w:w="979"/>
        <w:gridCol w:w="1174"/>
      </w:tblGrid>
      <w:tr w:rsidR="006E5B54" w14:paraId="17ED60B2" w14:textId="77777777" w:rsidTr="00BE25B2">
        <w:trPr>
          <w:trHeight w:val="630"/>
        </w:trPr>
        <w:tc>
          <w:tcPr>
            <w:tcW w:w="3090" w:type="dxa"/>
            <w:tcBorders>
              <w:top w:val="single" w:sz="6" w:space="0" w:color="auto"/>
              <w:left w:val="single" w:sz="6" w:space="0" w:color="auto"/>
              <w:bottom w:val="nil"/>
              <w:right w:val="single" w:sz="6" w:space="0" w:color="auto"/>
            </w:tcBorders>
            <w:shd w:val="clear" w:color="auto" w:fill="D9D9D9"/>
            <w:vAlign w:val="center"/>
            <w:hideMark/>
          </w:tcPr>
          <w:p w14:paraId="1057529B"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Organisational Development and Change</w:t>
            </w:r>
            <w:r w:rsidRPr="00225502">
              <w:rPr>
                <w:rFonts w:eastAsia="Times New Roman" w:cs="Arial"/>
                <w:sz w:val="20"/>
                <w:szCs w:val="20"/>
                <w:lang w:eastAsia="en-GB"/>
              </w:rPr>
              <w:t> </w:t>
            </w:r>
          </w:p>
        </w:tc>
        <w:tc>
          <w:tcPr>
            <w:tcW w:w="1140" w:type="dxa"/>
            <w:tcBorders>
              <w:top w:val="single" w:sz="6" w:space="0" w:color="auto"/>
              <w:left w:val="nil"/>
              <w:bottom w:val="nil"/>
              <w:right w:val="single" w:sz="6" w:space="0" w:color="auto"/>
            </w:tcBorders>
            <w:shd w:val="clear" w:color="auto" w:fill="D9D9D9"/>
            <w:vAlign w:val="center"/>
            <w:hideMark/>
          </w:tcPr>
          <w:p w14:paraId="0108ABA6"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Approved Net Budget </w:t>
            </w:r>
            <w:r w:rsidRPr="00225502">
              <w:rPr>
                <w:rFonts w:eastAsia="Times New Roman" w:cs="Arial"/>
                <w:sz w:val="20"/>
                <w:szCs w:val="20"/>
                <w:lang w:eastAsia="en-GB"/>
              </w:rPr>
              <w:t> </w:t>
            </w:r>
          </w:p>
        </w:tc>
        <w:tc>
          <w:tcPr>
            <w:tcW w:w="1005" w:type="dxa"/>
            <w:tcBorders>
              <w:top w:val="single" w:sz="6" w:space="0" w:color="auto"/>
              <w:left w:val="nil"/>
              <w:bottom w:val="nil"/>
              <w:right w:val="single" w:sz="6" w:space="0" w:color="auto"/>
            </w:tcBorders>
            <w:shd w:val="clear" w:color="auto" w:fill="D9D9D9"/>
            <w:vAlign w:val="center"/>
            <w:hideMark/>
          </w:tcPr>
          <w:p w14:paraId="44ADC0A4"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Net Outturn </w:t>
            </w:r>
            <w:r w:rsidRPr="00225502">
              <w:rPr>
                <w:rFonts w:eastAsia="Times New Roman" w:cs="Arial"/>
                <w:sz w:val="20"/>
                <w:szCs w:val="20"/>
                <w:lang w:eastAsia="en-GB"/>
              </w:rPr>
              <w:t> </w:t>
            </w:r>
          </w:p>
        </w:tc>
        <w:tc>
          <w:tcPr>
            <w:tcW w:w="1035" w:type="dxa"/>
            <w:tcBorders>
              <w:top w:val="single" w:sz="6" w:space="0" w:color="auto"/>
              <w:left w:val="nil"/>
              <w:bottom w:val="nil"/>
              <w:right w:val="single" w:sz="6" w:space="0" w:color="auto"/>
            </w:tcBorders>
            <w:shd w:val="clear" w:color="auto" w:fill="D9D9D9"/>
            <w:vAlign w:val="center"/>
            <w:hideMark/>
          </w:tcPr>
          <w:p w14:paraId="58C43C67"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Net Outturn Variance</w:t>
            </w:r>
            <w:r w:rsidRPr="00225502">
              <w:rPr>
                <w:rFonts w:eastAsia="Times New Roman" w:cs="Arial"/>
                <w:sz w:val="20"/>
                <w:szCs w:val="20"/>
                <w:lang w:eastAsia="en-GB"/>
              </w:rPr>
              <w:t> </w:t>
            </w:r>
          </w:p>
        </w:tc>
        <w:tc>
          <w:tcPr>
            <w:tcW w:w="1035" w:type="dxa"/>
            <w:tcBorders>
              <w:top w:val="single" w:sz="6" w:space="0" w:color="auto"/>
              <w:left w:val="nil"/>
              <w:bottom w:val="nil"/>
              <w:right w:val="single" w:sz="6" w:space="0" w:color="auto"/>
            </w:tcBorders>
            <w:shd w:val="clear" w:color="auto" w:fill="D9D9D9"/>
            <w:vAlign w:val="center"/>
            <w:hideMark/>
          </w:tcPr>
          <w:p w14:paraId="7B4E2523"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Net Outturn Variance</w:t>
            </w:r>
            <w:r w:rsidRPr="00225502">
              <w:rPr>
                <w:rFonts w:eastAsia="Times New Roman" w:cs="Arial"/>
                <w:sz w:val="20"/>
                <w:szCs w:val="20"/>
                <w:lang w:eastAsia="en-GB"/>
              </w:rPr>
              <w:t> </w:t>
            </w:r>
          </w:p>
        </w:tc>
        <w:tc>
          <w:tcPr>
            <w:tcW w:w="1035" w:type="dxa"/>
            <w:tcBorders>
              <w:top w:val="single" w:sz="6" w:space="0" w:color="auto"/>
              <w:left w:val="nil"/>
              <w:bottom w:val="nil"/>
              <w:right w:val="single" w:sz="6" w:space="0" w:color="auto"/>
            </w:tcBorders>
            <w:shd w:val="clear" w:color="auto" w:fill="D9D9D9"/>
            <w:vAlign w:val="center"/>
            <w:hideMark/>
          </w:tcPr>
          <w:p w14:paraId="7FF3BB3A"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color w:val="auto"/>
                <w:sz w:val="20"/>
                <w:szCs w:val="20"/>
                <w:lang w:eastAsia="en-GB"/>
              </w:rPr>
              <w:t>Q3 Variance</w:t>
            </w:r>
            <w:r w:rsidRPr="00225502">
              <w:rPr>
                <w:rFonts w:eastAsia="Times New Roman" w:cs="Arial"/>
                <w:color w:val="auto"/>
                <w:sz w:val="20"/>
                <w:szCs w:val="20"/>
                <w:lang w:eastAsia="en-GB"/>
              </w:rPr>
              <w:t> </w:t>
            </w:r>
          </w:p>
        </w:tc>
        <w:tc>
          <w:tcPr>
            <w:tcW w:w="1260" w:type="dxa"/>
            <w:tcBorders>
              <w:top w:val="single" w:sz="6" w:space="0" w:color="auto"/>
              <w:left w:val="single" w:sz="6" w:space="0" w:color="auto"/>
              <w:bottom w:val="nil"/>
              <w:right w:val="single" w:sz="6" w:space="0" w:color="auto"/>
            </w:tcBorders>
            <w:shd w:val="clear" w:color="auto" w:fill="D9D9D9"/>
            <w:vAlign w:val="center"/>
            <w:hideMark/>
          </w:tcPr>
          <w:p w14:paraId="4462A8AA"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color w:val="auto"/>
                <w:sz w:val="20"/>
                <w:szCs w:val="20"/>
                <w:lang w:eastAsia="en-GB"/>
              </w:rPr>
              <w:t>Movement</w:t>
            </w:r>
            <w:r w:rsidRPr="00225502">
              <w:rPr>
                <w:rFonts w:eastAsia="Times New Roman" w:cs="Arial"/>
                <w:color w:val="auto"/>
                <w:sz w:val="20"/>
                <w:szCs w:val="20"/>
                <w:lang w:eastAsia="en-GB"/>
              </w:rPr>
              <w:t> </w:t>
            </w:r>
            <w:r w:rsidRPr="00225502">
              <w:rPr>
                <w:rFonts w:eastAsia="Times New Roman" w:cs="Arial"/>
                <w:color w:val="auto"/>
                <w:sz w:val="20"/>
                <w:szCs w:val="20"/>
                <w:lang w:eastAsia="en-GB"/>
              </w:rPr>
              <w:br/>
            </w:r>
            <w:r w:rsidRPr="00225502">
              <w:rPr>
                <w:rFonts w:eastAsia="Times New Roman" w:cs="Arial"/>
                <w:b/>
                <w:bCs/>
                <w:color w:val="auto"/>
                <w:sz w:val="20"/>
                <w:szCs w:val="20"/>
                <w:lang w:eastAsia="en-GB"/>
              </w:rPr>
              <w:t>From Q3</w:t>
            </w:r>
            <w:r w:rsidRPr="00225502">
              <w:rPr>
                <w:rFonts w:eastAsia="Times New Roman" w:cs="Arial"/>
                <w:color w:val="auto"/>
                <w:sz w:val="20"/>
                <w:szCs w:val="20"/>
                <w:lang w:eastAsia="en-GB"/>
              </w:rPr>
              <w:t> </w:t>
            </w:r>
          </w:p>
        </w:tc>
      </w:tr>
      <w:tr w:rsidR="006E5B54" w14:paraId="1AEAFA33" w14:textId="77777777" w:rsidTr="00225502">
        <w:trPr>
          <w:trHeight w:val="240"/>
        </w:trPr>
        <w:tc>
          <w:tcPr>
            <w:tcW w:w="3090" w:type="dxa"/>
            <w:tcBorders>
              <w:top w:val="nil"/>
              <w:left w:val="single" w:sz="6" w:space="0" w:color="auto"/>
              <w:bottom w:val="single" w:sz="6" w:space="0" w:color="auto"/>
              <w:right w:val="single" w:sz="6" w:space="0" w:color="auto"/>
            </w:tcBorders>
            <w:shd w:val="clear" w:color="auto" w:fill="D9D9D9"/>
            <w:vAlign w:val="center"/>
            <w:hideMark/>
          </w:tcPr>
          <w:p w14:paraId="08A34577" w14:textId="77777777" w:rsidR="00225502" w:rsidRPr="00225502" w:rsidRDefault="00162F2E" w:rsidP="00225502">
            <w:pPr>
              <w:autoSpaceDE/>
              <w:autoSpaceDN/>
              <w:adjustRightInd/>
              <w:spacing w:after="0"/>
              <w:jc w:val="lef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 </w:t>
            </w:r>
            <w:r w:rsidRPr="00225502">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7AAC8D91"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£m</w:t>
            </w:r>
            <w:r w:rsidRPr="00225502">
              <w:rPr>
                <w:rFonts w:eastAsia="Times New Roman" w:cs="Arial"/>
                <w:sz w:val="20"/>
                <w:szCs w:val="20"/>
                <w:lang w:eastAsia="en-GB"/>
              </w:rPr>
              <w:t> </w:t>
            </w:r>
          </w:p>
        </w:tc>
        <w:tc>
          <w:tcPr>
            <w:tcW w:w="1005" w:type="dxa"/>
            <w:tcBorders>
              <w:top w:val="nil"/>
              <w:left w:val="nil"/>
              <w:bottom w:val="single" w:sz="6" w:space="0" w:color="auto"/>
              <w:right w:val="single" w:sz="6" w:space="0" w:color="auto"/>
            </w:tcBorders>
            <w:shd w:val="clear" w:color="auto" w:fill="D9D9D9"/>
            <w:vAlign w:val="center"/>
            <w:hideMark/>
          </w:tcPr>
          <w:p w14:paraId="48BFDB60"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£m</w:t>
            </w:r>
            <w:r w:rsidRPr="00225502">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034FDAB4"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£m</w:t>
            </w:r>
            <w:r w:rsidRPr="00225502">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2985E34A"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w:t>
            </w:r>
            <w:r w:rsidRPr="00225502">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106D54B2"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color w:val="auto"/>
                <w:sz w:val="20"/>
                <w:szCs w:val="20"/>
                <w:lang w:eastAsia="en-GB"/>
              </w:rPr>
              <w:t>£m</w:t>
            </w:r>
            <w:r w:rsidRPr="00225502">
              <w:rPr>
                <w:rFonts w:eastAsia="Times New Roman" w:cs="Arial"/>
                <w:color w:val="auto"/>
                <w:sz w:val="20"/>
                <w:szCs w:val="20"/>
                <w:lang w:eastAsia="en-GB"/>
              </w:rPr>
              <w:t> </w:t>
            </w:r>
          </w:p>
        </w:tc>
        <w:tc>
          <w:tcPr>
            <w:tcW w:w="1260" w:type="dxa"/>
            <w:tcBorders>
              <w:top w:val="nil"/>
              <w:left w:val="single" w:sz="6" w:space="0" w:color="auto"/>
              <w:bottom w:val="single" w:sz="6" w:space="0" w:color="auto"/>
              <w:right w:val="single" w:sz="6" w:space="0" w:color="auto"/>
            </w:tcBorders>
            <w:shd w:val="clear" w:color="auto" w:fill="D9D9D9"/>
            <w:vAlign w:val="center"/>
            <w:hideMark/>
          </w:tcPr>
          <w:p w14:paraId="4D56EDBB" w14:textId="77777777" w:rsidR="00225502" w:rsidRPr="00225502" w:rsidRDefault="00162F2E" w:rsidP="00225502">
            <w:pPr>
              <w:autoSpaceDE/>
              <w:autoSpaceDN/>
              <w:adjustRightInd/>
              <w:spacing w:after="0"/>
              <w:jc w:val="center"/>
              <w:textAlignment w:val="baseline"/>
              <w:rPr>
                <w:rFonts w:ascii="Times New Roman" w:eastAsia="Times New Roman" w:hAnsi="Times New Roman" w:cs="Times New Roman"/>
                <w:color w:val="auto"/>
                <w:lang w:eastAsia="en-GB"/>
              </w:rPr>
            </w:pPr>
            <w:r w:rsidRPr="00225502">
              <w:rPr>
                <w:rFonts w:eastAsia="Times New Roman" w:cs="Arial"/>
                <w:b/>
                <w:bCs/>
                <w:color w:val="auto"/>
                <w:sz w:val="20"/>
                <w:szCs w:val="20"/>
                <w:lang w:eastAsia="en-GB"/>
              </w:rPr>
              <w:t>£m</w:t>
            </w:r>
            <w:r w:rsidRPr="00225502">
              <w:rPr>
                <w:rFonts w:eastAsia="Times New Roman" w:cs="Arial"/>
                <w:color w:val="auto"/>
                <w:sz w:val="20"/>
                <w:szCs w:val="20"/>
                <w:lang w:eastAsia="en-GB"/>
              </w:rPr>
              <w:t> </w:t>
            </w:r>
          </w:p>
        </w:tc>
      </w:tr>
      <w:tr w:rsidR="006E5B54" w14:paraId="02ABD55D" w14:textId="77777777" w:rsidTr="00225502">
        <w:trPr>
          <w:trHeight w:val="240"/>
        </w:trPr>
        <w:tc>
          <w:tcPr>
            <w:tcW w:w="3090" w:type="dxa"/>
            <w:tcBorders>
              <w:top w:val="nil"/>
              <w:left w:val="single" w:sz="6" w:space="0" w:color="auto"/>
              <w:bottom w:val="single" w:sz="6" w:space="0" w:color="auto"/>
              <w:right w:val="single" w:sz="6" w:space="0" w:color="auto"/>
            </w:tcBorders>
            <w:shd w:val="clear" w:color="auto" w:fill="D9D9D9"/>
            <w:vAlign w:val="center"/>
            <w:hideMark/>
          </w:tcPr>
          <w:p w14:paraId="438D3325" w14:textId="77777777" w:rsidR="00225502" w:rsidRPr="00225502" w:rsidRDefault="00162F2E" w:rsidP="00225502">
            <w:pPr>
              <w:autoSpaceDE/>
              <w:autoSpaceDN/>
              <w:adjustRightInd/>
              <w:spacing w:after="0"/>
              <w:jc w:val="lef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Programme Office</w:t>
            </w:r>
            <w:r w:rsidRPr="00225502">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1AEFEA43"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1.193 </w:t>
            </w:r>
          </w:p>
        </w:tc>
        <w:tc>
          <w:tcPr>
            <w:tcW w:w="1005" w:type="dxa"/>
            <w:tcBorders>
              <w:top w:val="nil"/>
              <w:left w:val="nil"/>
              <w:bottom w:val="single" w:sz="6" w:space="0" w:color="auto"/>
              <w:right w:val="single" w:sz="6" w:space="0" w:color="auto"/>
            </w:tcBorders>
            <w:shd w:val="clear" w:color="auto" w:fill="auto"/>
            <w:vAlign w:val="center"/>
            <w:hideMark/>
          </w:tcPr>
          <w:p w14:paraId="00FABB53"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1.117 </w:t>
            </w:r>
          </w:p>
        </w:tc>
        <w:tc>
          <w:tcPr>
            <w:tcW w:w="1035" w:type="dxa"/>
            <w:tcBorders>
              <w:top w:val="nil"/>
              <w:left w:val="nil"/>
              <w:bottom w:val="single" w:sz="6" w:space="0" w:color="auto"/>
              <w:right w:val="single" w:sz="6" w:space="0" w:color="auto"/>
            </w:tcBorders>
            <w:shd w:val="clear" w:color="auto" w:fill="D9D9D9"/>
            <w:vAlign w:val="center"/>
            <w:hideMark/>
          </w:tcPr>
          <w:p w14:paraId="2DF10E5C"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-0.076 </w:t>
            </w:r>
          </w:p>
        </w:tc>
        <w:tc>
          <w:tcPr>
            <w:tcW w:w="1035" w:type="dxa"/>
            <w:tcBorders>
              <w:top w:val="nil"/>
              <w:left w:val="nil"/>
              <w:bottom w:val="single" w:sz="6" w:space="0" w:color="auto"/>
              <w:right w:val="single" w:sz="6" w:space="0" w:color="auto"/>
            </w:tcBorders>
            <w:shd w:val="clear" w:color="auto" w:fill="auto"/>
            <w:vAlign w:val="center"/>
            <w:hideMark/>
          </w:tcPr>
          <w:p w14:paraId="13C0A389"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-6.37% </w:t>
            </w:r>
          </w:p>
        </w:tc>
        <w:tc>
          <w:tcPr>
            <w:tcW w:w="1035" w:type="dxa"/>
            <w:tcBorders>
              <w:top w:val="nil"/>
              <w:left w:val="nil"/>
              <w:bottom w:val="single" w:sz="6" w:space="0" w:color="auto"/>
              <w:right w:val="single" w:sz="6" w:space="0" w:color="auto"/>
            </w:tcBorders>
            <w:shd w:val="clear" w:color="auto" w:fill="D9D9D9"/>
            <w:vAlign w:val="center"/>
            <w:hideMark/>
          </w:tcPr>
          <w:p w14:paraId="604E8204"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color w:val="auto"/>
                <w:sz w:val="20"/>
                <w:szCs w:val="20"/>
                <w:lang w:eastAsia="en-GB"/>
              </w:rPr>
              <w:t>0.000 </w:t>
            </w:r>
          </w:p>
        </w:tc>
        <w:tc>
          <w:tcPr>
            <w:tcW w:w="1260" w:type="dxa"/>
            <w:tcBorders>
              <w:top w:val="nil"/>
              <w:left w:val="single" w:sz="6" w:space="0" w:color="auto"/>
              <w:bottom w:val="single" w:sz="6" w:space="0" w:color="auto"/>
              <w:right w:val="single" w:sz="6" w:space="0" w:color="auto"/>
            </w:tcBorders>
            <w:shd w:val="clear" w:color="auto" w:fill="auto"/>
            <w:vAlign w:val="center"/>
            <w:hideMark/>
          </w:tcPr>
          <w:p w14:paraId="3EDEC156"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color w:val="auto"/>
                <w:sz w:val="20"/>
                <w:szCs w:val="20"/>
                <w:lang w:eastAsia="en-GB"/>
              </w:rPr>
              <w:t>-0.076 </w:t>
            </w:r>
          </w:p>
        </w:tc>
      </w:tr>
      <w:tr w:rsidR="006E5B54" w14:paraId="4C3352A5" w14:textId="77777777" w:rsidTr="00225502">
        <w:trPr>
          <w:trHeight w:val="240"/>
        </w:trPr>
        <w:tc>
          <w:tcPr>
            <w:tcW w:w="3090" w:type="dxa"/>
            <w:tcBorders>
              <w:top w:val="nil"/>
              <w:left w:val="single" w:sz="6" w:space="0" w:color="auto"/>
              <w:bottom w:val="single" w:sz="6" w:space="0" w:color="auto"/>
              <w:right w:val="single" w:sz="6" w:space="0" w:color="auto"/>
            </w:tcBorders>
            <w:shd w:val="clear" w:color="auto" w:fill="D9D9D9"/>
            <w:vAlign w:val="center"/>
            <w:hideMark/>
          </w:tcPr>
          <w:p w14:paraId="15251174" w14:textId="77777777" w:rsidR="00225502" w:rsidRPr="00225502" w:rsidRDefault="00162F2E" w:rsidP="00225502">
            <w:pPr>
              <w:autoSpaceDE/>
              <w:autoSpaceDN/>
              <w:adjustRightInd/>
              <w:spacing w:after="0"/>
              <w:jc w:val="lef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Organisational Development</w:t>
            </w:r>
            <w:r w:rsidRPr="00225502">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4A1B3941"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0.754 </w:t>
            </w:r>
          </w:p>
        </w:tc>
        <w:tc>
          <w:tcPr>
            <w:tcW w:w="1005" w:type="dxa"/>
            <w:tcBorders>
              <w:top w:val="nil"/>
              <w:left w:val="nil"/>
              <w:bottom w:val="single" w:sz="6" w:space="0" w:color="auto"/>
              <w:right w:val="single" w:sz="6" w:space="0" w:color="auto"/>
            </w:tcBorders>
            <w:shd w:val="clear" w:color="auto" w:fill="auto"/>
            <w:vAlign w:val="center"/>
            <w:hideMark/>
          </w:tcPr>
          <w:p w14:paraId="1170403E"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0.615 </w:t>
            </w:r>
          </w:p>
        </w:tc>
        <w:tc>
          <w:tcPr>
            <w:tcW w:w="1035" w:type="dxa"/>
            <w:tcBorders>
              <w:top w:val="nil"/>
              <w:left w:val="nil"/>
              <w:bottom w:val="single" w:sz="6" w:space="0" w:color="auto"/>
              <w:right w:val="single" w:sz="6" w:space="0" w:color="auto"/>
            </w:tcBorders>
            <w:shd w:val="clear" w:color="auto" w:fill="D9D9D9"/>
            <w:vAlign w:val="center"/>
            <w:hideMark/>
          </w:tcPr>
          <w:p w14:paraId="1A5D44E5"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-0.139 </w:t>
            </w:r>
          </w:p>
        </w:tc>
        <w:tc>
          <w:tcPr>
            <w:tcW w:w="1035" w:type="dxa"/>
            <w:tcBorders>
              <w:top w:val="nil"/>
              <w:left w:val="nil"/>
              <w:bottom w:val="single" w:sz="6" w:space="0" w:color="auto"/>
              <w:right w:val="single" w:sz="6" w:space="0" w:color="auto"/>
            </w:tcBorders>
            <w:shd w:val="clear" w:color="auto" w:fill="auto"/>
            <w:vAlign w:val="center"/>
            <w:hideMark/>
          </w:tcPr>
          <w:p w14:paraId="0728CBC7"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-18.44% </w:t>
            </w:r>
          </w:p>
        </w:tc>
        <w:tc>
          <w:tcPr>
            <w:tcW w:w="1035" w:type="dxa"/>
            <w:tcBorders>
              <w:top w:val="nil"/>
              <w:left w:val="nil"/>
              <w:bottom w:val="single" w:sz="6" w:space="0" w:color="auto"/>
              <w:right w:val="single" w:sz="6" w:space="0" w:color="auto"/>
            </w:tcBorders>
            <w:shd w:val="clear" w:color="auto" w:fill="D9D9D9"/>
            <w:vAlign w:val="center"/>
            <w:hideMark/>
          </w:tcPr>
          <w:p w14:paraId="431E48D1"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color w:val="auto"/>
                <w:sz w:val="20"/>
                <w:szCs w:val="20"/>
                <w:lang w:eastAsia="en-GB"/>
              </w:rPr>
              <w:t>-0.054 </w:t>
            </w:r>
          </w:p>
        </w:tc>
        <w:tc>
          <w:tcPr>
            <w:tcW w:w="1260" w:type="dxa"/>
            <w:tcBorders>
              <w:top w:val="nil"/>
              <w:left w:val="single" w:sz="6" w:space="0" w:color="auto"/>
              <w:bottom w:val="single" w:sz="6" w:space="0" w:color="auto"/>
              <w:right w:val="single" w:sz="6" w:space="0" w:color="auto"/>
            </w:tcBorders>
            <w:shd w:val="clear" w:color="auto" w:fill="auto"/>
            <w:vAlign w:val="center"/>
            <w:hideMark/>
          </w:tcPr>
          <w:p w14:paraId="7BDC4440"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color w:val="auto"/>
                <w:sz w:val="20"/>
                <w:szCs w:val="20"/>
                <w:lang w:eastAsia="en-GB"/>
              </w:rPr>
              <w:t>-0.085 </w:t>
            </w:r>
          </w:p>
        </w:tc>
      </w:tr>
      <w:tr w:rsidR="006E5B54" w14:paraId="6144418E" w14:textId="77777777" w:rsidTr="00225502">
        <w:trPr>
          <w:trHeight w:val="240"/>
        </w:trPr>
        <w:tc>
          <w:tcPr>
            <w:tcW w:w="3090" w:type="dxa"/>
            <w:tcBorders>
              <w:top w:val="nil"/>
              <w:left w:val="single" w:sz="6" w:space="0" w:color="auto"/>
              <w:bottom w:val="single" w:sz="6" w:space="0" w:color="auto"/>
              <w:right w:val="single" w:sz="6" w:space="0" w:color="auto"/>
            </w:tcBorders>
            <w:shd w:val="clear" w:color="auto" w:fill="D9D9D9"/>
            <w:vAlign w:val="center"/>
            <w:hideMark/>
          </w:tcPr>
          <w:p w14:paraId="67F66678" w14:textId="77777777" w:rsidR="00225502" w:rsidRPr="00225502" w:rsidRDefault="00162F2E" w:rsidP="00225502">
            <w:pPr>
              <w:autoSpaceDE/>
              <w:autoSpaceDN/>
              <w:adjustRightInd/>
              <w:spacing w:after="0"/>
              <w:jc w:val="lef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Total</w:t>
            </w:r>
            <w:r w:rsidRPr="00225502">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72C60453"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1.947</w:t>
            </w:r>
            <w:r w:rsidRPr="00225502">
              <w:rPr>
                <w:rFonts w:eastAsia="Times New Roman" w:cs="Arial"/>
                <w:sz w:val="20"/>
                <w:szCs w:val="20"/>
                <w:lang w:eastAsia="en-GB"/>
              </w:rPr>
              <w:t> </w:t>
            </w:r>
          </w:p>
        </w:tc>
        <w:tc>
          <w:tcPr>
            <w:tcW w:w="1005" w:type="dxa"/>
            <w:tcBorders>
              <w:top w:val="nil"/>
              <w:left w:val="nil"/>
              <w:bottom w:val="single" w:sz="6" w:space="0" w:color="auto"/>
              <w:right w:val="single" w:sz="6" w:space="0" w:color="auto"/>
            </w:tcBorders>
            <w:shd w:val="clear" w:color="auto" w:fill="D9D9D9"/>
            <w:vAlign w:val="center"/>
            <w:hideMark/>
          </w:tcPr>
          <w:p w14:paraId="31A0D239"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1.732</w:t>
            </w:r>
            <w:r w:rsidRPr="00225502">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01ADA81B"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-0.215</w:t>
            </w:r>
            <w:r w:rsidRPr="00225502">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7E16CDA6"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-11.04%</w:t>
            </w:r>
            <w:r w:rsidRPr="00225502">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4BDC6233"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color w:val="auto"/>
                <w:sz w:val="20"/>
                <w:szCs w:val="20"/>
                <w:lang w:eastAsia="en-GB"/>
              </w:rPr>
              <w:t>-0.054</w:t>
            </w:r>
            <w:r w:rsidRPr="00225502">
              <w:rPr>
                <w:rFonts w:eastAsia="Times New Roman" w:cs="Arial"/>
                <w:color w:val="auto"/>
                <w:sz w:val="20"/>
                <w:szCs w:val="20"/>
                <w:lang w:eastAsia="en-GB"/>
              </w:rPr>
              <w:t> </w:t>
            </w:r>
          </w:p>
        </w:tc>
        <w:tc>
          <w:tcPr>
            <w:tcW w:w="1260" w:type="dxa"/>
            <w:tcBorders>
              <w:top w:val="nil"/>
              <w:left w:val="single" w:sz="6" w:space="0" w:color="auto"/>
              <w:bottom w:val="single" w:sz="6" w:space="0" w:color="auto"/>
              <w:right w:val="single" w:sz="6" w:space="0" w:color="auto"/>
            </w:tcBorders>
            <w:shd w:val="clear" w:color="auto" w:fill="D9D9D9"/>
            <w:vAlign w:val="center"/>
            <w:hideMark/>
          </w:tcPr>
          <w:p w14:paraId="60B029E6"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color w:val="auto"/>
                <w:sz w:val="20"/>
                <w:szCs w:val="20"/>
                <w:lang w:eastAsia="en-GB"/>
              </w:rPr>
              <w:t>-0.161</w:t>
            </w:r>
            <w:r w:rsidRPr="00225502">
              <w:rPr>
                <w:rFonts w:eastAsia="Times New Roman" w:cs="Arial"/>
                <w:color w:val="auto"/>
                <w:sz w:val="20"/>
                <w:szCs w:val="20"/>
                <w:lang w:eastAsia="en-GB"/>
              </w:rPr>
              <w:t> </w:t>
            </w:r>
          </w:p>
        </w:tc>
      </w:tr>
      <w:tr w:rsidR="006E5B54" w14:paraId="7A04F1E4" w14:textId="77777777" w:rsidTr="00225502">
        <w:trPr>
          <w:trHeight w:val="420"/>
        </w:trPr>
        <w:tc>
          <w:tcPr>
            <w:tcW w:w="3090" w:type="dxa"/>
            <w:tcBorders>
              <w:top w:val="nil"/>
              <w:left w:val="single" w:sz="6" w:space="0" w:color="auto"/>
              <w:bottom w:val="single" w:sz="6" w:space="0" w:color="auto"/>
              <w:right w:val="single" w:sz="6" w:space="0" w:color="auto"/>
            </w:tcBorders>
            <w:shd w:val="clear" w:color="auto" w:fill="D9D9D9"/>
            <w:vAlign w:val="center"/>
            <w:hideMark/>
          </w:tcPr>
          <w:p w14:paraId="1293DF19" w14:textId="77777777" w:rsidR="00225502" w:rsidRPr="00225502" w:rsidRDefault="00162F2E" w:rsidP="00225502">
            <w:pPr>
              <w:autoSpaceDE/>
              <w:autoSpaceDN/>
              <w:adjustRightInd/>
              <w:spacing w:after="0"/>
              <w:jc w:val="lef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 xml:space="preserve">Share of unallocated </w:t>
            </w:r>
            <w:r w:rsidR="0026517A">
              <w:rPr>
                <w:rFonts w:eastAsia="Times New Roman" w:cs="Arial"/>
                <w:b/>
                <w:bCs/>
                <w:sz w:val="20"/>
                <w:szCs w:val="20"/>
                <w:lang w:eastAsia="en-GB"/>
              </w:rPr>
              <w:t>C</w:t>
            </w:r>
            <w:r w:rsidR="00626DB7">
              <w:rPr>
                <w:rFonts w:eastAsia="Times New Roman" w:cs="Arial"/>
                <w:b/>
                <w:bCs/>
                <w:sz w:val="20"/>
                <w:szCs w:val="20"/>
                <w:lang w:eastAsia="en-GB"/>
              </w:rPr>
              <w:t>o</w:t>
            </w:r>
            <w:r w:rsidR="00626DB7">
              <w:rPr>
                <w:rFonts w:eastAsia="Times New Roman"/>
                <w:b/>
                <w:bCs/>
                <w:sz w:val="20"/>
                <w:szCs w:val="20"/>
                <w:lang w:eastAsia="en-GB"/>
              </w:rPr>
              <w:t>vid</w:t>
            </w:r>
            <w:r w:rsidRPr="00225502">
              <w:rPr>
                <w:rFonts w:eastAsia="Times New Roman" w:cs="Arial"/>
                <w:b/>
                <w:bCs/>
                <w:sz w:val="20"/>
                <w:szCs w:val="20"/>
                <w:lang w:eastAsia="en-GB"/>
              </w:rPr>
              <w:t>-19 emergency monies</w:t>
            </w:r>
            <w:r w:rsidRPr="00225502">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4DE274E2"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0.000 </w:t>
            </w:r>
          </w:p>
        </w:tc>
        <w:tc>
          <w:tcPr>
            <w:tcW w:w="1005" w:type="dxa"/>
            <w:tcBorders>
              <w:top w:val="nil"/>
              <w:left w:val="nil"/>
              <w:bottom w:val="single" w:sz="6" w:space="0" w:color="auto"/>
              <w:right w:val="single" w:sz="6" w:space="0" w:color="auto"/>
            </w:tcBorders>
            <w:shd w:val="clear" w:color="auto" w:fill="auto"/>
            <w:vAlign w:val="center"/>
            <w:hideMark/>
          </w:tcPr>
          <w:p w14:paraId="03AAE1CA"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0.000 </w:t>
            </w:r>
          </w:p>
        </w:tc>
        <w:tc>
          <w:tcPr>
            <w:tcW w:w="1035" w:type="dxa"/>
            <w:tcBorders>
              <w:top w:val="nil"/>
              <w:left w:val="nil"/>
              <w:bottom w:val="single" w:sz="6" w:space="0" w:color="auto"/>
              <w:right w:val="single" w:sz="6" w:space="0" w:color="auto"/>
            </w:tcBorders>
            <w:shd w:val="clear" w:color="auto" w:fill="D9D9D9"/>
            <w:vAlign w:val="center"/>
            <w:hideMark/>
          </w:tcPr>
          <w:p w14:paraId="4DA4B422"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0.000 </w:t>
            </w:r>
          </w:p>
        </w:tc>
        <w:tc>
          <w:tcPr>
            <w:tcW w:w="1035" w:type="dxa"/>
            <w:tcBorders>
              <w:top w:val="nil"/>
              <w:left w:val="nil"/>
              <w:bottom w:val="single" w:sz="6" w:space="0" w:color="auto"/>
              <w:right w:val="single" w:sz="6" w:space="0" w:color="auto"/>
            </w:tcBorders>
            <w:shd w:val="clear" w:color="auto" w:fill="auto"/>
            <w:vAlign w:val="center"/>
            <w:hideMark/>
          </w:tcPr>
          <w:p w14:paraId="429F6D92"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793B3F1F"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color w:val="auto"/>
                <w:sz w:val="20"/>
                <w:szCs w:val="20"/>
                <w:lang w:eastAsia="en-GB"/>
              </w:rPr>
              <w:t>0.000 </w:t>
            </w:r>
          </w:p>
        </w:tc>
        <w:tc>
          <w:tcPr>
            <w:tcW w:w="1260" w:type="dxa"/>
            <w:tcBorders>
              <w:top w:val="nil"/>
              <w:left w:val="single" w:sz="6" w:space="0" w:color="auto"/>
              <w:bottom w:val="single" w:sz="6" w:space="0" w:color="auto"/>
              <w:right w:val="single" w:sz="6" w:space="0" w:color="auto"/>
            </w:tcBorders>
            <w:shd w:val="clear" w:color="auto" w:fill="auto"/>
            <w:vAlign w:val="center"/>
            <w:hideMark/>
          </w:tcPr>
          <w:p w14:paraId="70F1743B"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color w:val="auto"/>
                <w:sz w:val="20"/>
                <w:szCs w:val="20"/>
                <w:lang w:eastAsia="en-GB"/>
              </w:rPr>
              <w:t>0.000 </w:t>
            </w:r>
          </w:p>
        </w:tc>
      </w:tr>
      <w:tr w:rsidR="006E5B54" w14:paraId="7F21494B" w14:textId="77777777" w:rsidTr="00225502">
        <w:trPr>
          <w:trHeight w:val="375"/>
        </w:trPr>
        <w:tc>
          <w:tcPr>
            <w:tcW w:w="3090" w:type="dxa"/>
            <w:tcBorders>
              <w:top w:val="nil"/>
              <w:left w:val="single" w:sz="6" w:space="0" w:color="auto"/>
              <w:bottom w:val="single" w:sz="6" w:space="0" w:color="auto"/>
              <w:right w:val="single" w:sz="6" w:space="0" w:color="auto"/>
            </w:tcBorders>
            <w:shd w:val="clear" w:color="auto" w:fill="D9D9D9"/>
            <w:vAlign w:val="center"/>
            <w:hideMark/>
          </w:tcPr>
          <w:p w14:paraId="2AC0BEC7" w14:textId="77777777" w:rsidR="00225502" w:rsidRPr="00225502" w:rsidRDefault="00162F2E" w:rsidP="00225502">
            <w:pPr>
              <w:autoSpaceDE/>
              <w:autoSpaceDN/>
              <w:adjustRightInd/>
              <w:spacing w:after="0"/>
              <w:jc w:val="lef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Total Organisational Development and Change</w:t>
            </w:r>
            <w:r w:rsidRPr="00225502">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3F639104"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1.947</w:t>
            </w:r>
            <w:r w:rsidRPr="00225502">
              <w:rPr>
                <w:rFonts w:eastAsia="Times New Roman" w:cs="Arial"/>
                <w:sz w:val="20"/>
                <w:szCs w:val="20"/>
                <w:lang w:eastAsia="en-GB"/>
              </w:rPr>
              <w:t> </w:t>
            </w:r>
          </w:p>
        </w:tc>
        <w:tc>
          <w:tcPr>
            <w:tcW w:w="1005" w:type="dxa"/>
            <w:tcBorders>
              <w:top w:val="nil"/>
              <w:left w:val="nil"/>
              <w:bottom w:val="single" w:sz="6" w:space="0" w:color="auto"/>
              <w:right w:val="single" w:sz="6" w:space="0" w:color="auto"/>
            </w:tcBorders>
            <w:shd w:val="clear" w:color="auto" w:fill="D9D9D9"/>
            <w:vAlign w:val="center"/>
            <w:hideMark/>
          </w:tcPr>
          <w:p w14:paraId="69BF0D2F"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1.732</w:t>
            </w:r>
            <w:r w:rsidRPr="00225502">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6169AFE5"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-0.215</w:t>
            </w:r>
            <w:r w:rsidRPr="00225502">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2E8DCCA5"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sz w:val="20"/>
                <w:szCs w:val="20"/>
                <w:lang w:eastAsia="en-GB"/>
              </w:rPr>
              <w:t>-11.04%</w:t>
            </w:r>
            <w:r w:rsidRPr="00225502">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10F0915D"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color w:val="auto"/>
                <w:sz w:val="20"/>
                <w:szCs w:val="20"/>
                <w:lang w:eastAsia="en-GB"/>
              </w:rPr>
              <w:t>-0.054</w:t>
            </w:r>
            <w:r w:rsidRPr="00225502">
              <w:rPr>
                <w:rFonts w:eastAsia="Times New Roman" w:cs="Arial"/>
                <w:color w:val="auto"/>
                <w:sz w:val="20"/>
                <w:szCs w:val="20"/>
                <w:lang w:eastAsia="en-GB"/>
              </w:rPr>
              <w:t> </w:t>
            </w:r>
          </w:p>
        </w:tc>
        <w:tc>
          <w:tcPr>
            <w:tcW w:w="1260" w:type="dxa"/>
            <w:tcBorders>
              <w:top w:val="nil"/>
              <w:left w:val="single" w:sz="6" w:space="0" w:color="auto"/>
              <w:bottom w:val="single" w:sz="6" w:space="0" w:color="auto"/>
              <w:right w:val="single" w:sz="6" w:space="0" w:color="auto"/>
            </w:tcBorders>
            <w:shd w:val="clear" w:color="auto" w:fill="D9D9D9"/>
            <w:vAlign w:val="center"/>
            <w:hideMark/>
          </w:tcPr>
          <w:p w14:paraId="780551D5" w14:textId="77777777" w:rsidR="00225502" w:rsidRPr="00225502" w:rsidRDefault="00162F2E" w:rsidP="00225502">
            <w:pPr>
              <w:autoSpaceDE/>
              <w:autoSpaceDN/>
              <w:adjustRightInd/>
              <w:spacing w:after="0"/>
              <w:jc w:val="right"/>
              <w:textAlignment w:val="baseline"/>
              <w:rPr>
                <w:rFonts w:ascii="Times New Roman" w:eastAsia="Times New Roman" w:hAnsi="Times New Roman" w:cs="Times New Roman"/>
                <w:color w:val="auto"/>
                <w:lang w:eastAsia="en-GB"/>
              </w:rPr>
            </w:pPr>
            <w:r w:rsidRPr="00225502">
              <w:rPr>
                <w:rFonts w:eastAsia="Times New Roman" w:cs="Arial"/>
                <w:b/>
                <w:bCs/>
                <w:color w:val="auto"/>
                <w:sz w:val="20"/>
                <w:szCs w:val="20"/>
                <w:lang w:eastAsia="en-GB"/>
              </w:rPr>
              <w:t>-0.161</w:t>
            </w:r>
            <w:r w:rsidRPr="00225502">
              <w:rPr>
                <w:rFonts w:eastAsia="Times New Roman" w:cs="Arial"/>
                <w:color w:val="auto"/>
                <w:sz w:val="20"/>
                <w:szCs w:val="20"/>
                <w:lang w:eastAsia="en-GB"/>
              </w:rPr>
              <w:t> </w:t>
            </w:r>
          </w:p>
        </w:tc>
      </w:tr>
    </w:tbl>
    <w:p w14:paraId="3B05B842" w14:textId="77777777" w:rsidR="00225502" w:rsidRPr="00225502" w:rsidRDefault="00162F2E" w:rsidP="00225502">
      <w:pPr>
        <w:autoSpaceDE/>
        <w:autoSpaceDN/>
        <w:adjustRightInd/>
        <w:spacing w:after="0"/>
        <w:textAlignment w:val="baseline"/>
        <w:rPr>
          <w:rFonts w:ascii="Segoe UI" w:eastAsia="Times New Roman" w:hAnsi="Segoe UI" w:cs="Segoe UI"/>
          <w:color w:val="auto"/>
          <w:sz w:val="18"/>
          <w:szCs w:val="18"/>
          <w:lang w:eastAsia="en-GB"/>
        </w:rPr>
      </w:pPr>
      <w:r w:rsidRPr="00225502">
        <w:rPr>
          <w:rFonts w:eastAsia="Times New Roman" w:cs="Arial"/>
          <w:color w:val="auto"/>
          <w:lang w:eastAsia="en-GB"/>
        </w:rPr>
        <w:t> </w:t>
      </w:r>
    </w:p>
    <w:p w14:paraId="657A991C" w14:textId="77777777" w:rsidR="00D10794" w:rsidRDefault="00162F2E" w:rsidP="00626DB7">
      <w:pPr>
        <w:autoSpaceDE/>
        <w:autoSpaceDN/>
        <w:adjustRightInd/>
        <w:spacing w:after="0"/>
        <w:textAlignment w:val="baseline"/>
        <w:rPr>
          <w:rFonts w:eastAsia="Times New Roman" w:cs="Arial"/>
          <w:color w:val="auto"/>
          <w:lang w:eastAsia="en-GB"/>
        </w:rPr>
      </w:pPr>
      <w:r w:rsidRPr="00225502">
        <w:rPr>
          <w:rFonts w:eastAsia="Times New Roman" w:cs="Arial"/>
          <w:color w:val="auto"/>
          <w:lang w:eastAsia="en-GB"/>
        </w:rPr>
        <w:t>The total net approved budget for Organisational Development and Change in 2021/22 was £1.947m.  The service underspent by £215,000 in 2021/22</w:t>
      </w:r>
      <w:r w:rsidR="00EA3A76">
        <w:rPr>
          <w:rFonts w:eastAsia="Times New Roman" w:cs="Arial"/>
          <w:color w:val="auto"/>
          <w:lang w:eastAsia="en-GB"/>
        </w:rPr>
        <w:t xml:space="preserve"> which relates to</w:t>
      </w:r>
      <w:r w:rsidR="00196676">
        <w:rPr>
          <w:rFonts w:eastAsia="Times New Roman" w:cs="Arial"/>
          <w:color w:val="auto"/>
          <w:lang w:eastAsia="en-GB"/>
        </w:rPr>
        <w:t xml:space="preserve"> staffing</w:t>
      </w:r>
      <w:r w:rsidRPr="00225502">
        <w:rPr>
          <w:rFonts w:eastAsia="Times New Roman" w:cs="Arial"/>
          <w:color w:val="auto"/>
          <w:lang w:eastAsia="en-GB"/>
        </w:rPr>
        <w:t>.</w:t>
      </w:r>
      <w:r w:rsidR="00196676">
        <w:rPr>
          <w:rFonts w:eastAsia="Times New Roman" w:cs="Arial"/>
          <w:color w:val="auto"/>
          <w:lang w:eastAsia="en-GB"/>
        </w:rPr>
        <w:t xml:space="preserve">  There was no significant change </w:t>
      </w:r>
      <w:r w:rsidR="007C2DC5">
        <w:rPr>
          <w:rFonts w:eastAsia="Times New Roman" w:cs="Arial"/>
          <w:color w:val="auto"/>
          <w:lang w:eastAsia="en-GB"/>
        </w:rPr>
        <w:t>to the forecast reported at quarter 3</w:t>
      </w:r>
      <w:r w:rsidRPr="00225502">
        <w:rPr>
          <w:rFonts w:eastAsia="Times New Roman" w:cs="Arial"/>
          <w:color w:val="auto"/>
          <w:lang w:eastAsia="en-GB"/>
        </w:rPr>
        <w:t>.</w:t>
      </w:r>
    </w:p>
    <w:p w14:paraId="6EFE399A" w14:textId="77777777" w:rsidR="00D10794" w:rsidRPr="00812801" w:rsidRDefault="00D10794" w:rsidP="00D10794">
      <w:pPr>
        <w:spacing w:after="0"/>
        <w:rPr>
          <w:rFonts w:eastAsia="Times New Roman" w:cs="Arial"/>
          <w:b/>
          <w:highlight w:val="yellow"/>
          <w:lang w:eastAsia="en-GB"/>
        </w:rPr>
      </w:pPr>
    </w:p>
    <w:p w14:paraId="29F4B990" w14:textId="77777777" w:rsidR="00D10794" w:rsidRDefault="00162F2E" w:rsidP="00D10794">
      <w:pPr>
        <w:spacing w:after="0"/>
        <w:rPr>
          <w:rFonts w:eastAsia="Times New Roman" w:cs="Arial"/>
          <w:b/>
          <w:lang w:eastAsia="en-GB"/>
        </w:rPr>
      </w:pPr>
      <w:r w:rsidRPr="00022205">
        <w:rPr>
          <w:rFonts w:eastAsia="Times New Roman" w:cs="Arial"/>
          <w:b/>
          <w:lang w:eastAsia="en-GB"/>
        </w:rPr>
        <w:t>3.8 Waste Management</w:t>
      </w:r>
    </w:p>
    <w:p w14:paraId="2C7FA374" w14:textId="77777777" w:rsidR="00AB6A4E" w:rsidRDefault="00AB6A4E" w:rsidP="00D10794">
      <w:pPr>
        <w:spacing w:after="0"/>
        <w:rPr>
          <w:rFonts w:eastAsia="Times New Roman" w:cs="Arial"/>
          <w:b/>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1042"/>
        <w:gridCol w:w="960"/>
        <w:gridCol w:w="991"/>
        <w:gridCol w:w="991"/>
        <w:gridCol w:w="969"/>
        <w:gridCol w:w="1194"/>
      </w:tblGrid>
      <w:tr w:rsidR="006E5B54" w14:paraId="6EFBDF24" w14:textId="77777777" w:rsidTr="00BE25B2">
        <w:trPr>
          <w:trHeight w:val="660"/>
        </w:trPr>
        <w:tc>
          <w:tcPr>
            <w:tcW w:w="3435" w:type="dxa"/>
            <w:tcBorders>
              <w:top w:val="single" w:sz="6" w:space="0" w:color="auto"/>
              <w:left w:val="single" w:sz="6" w:space="0" w:color="auto"/>
              <w:bottom w:val="nil"/>
              <w:right w:val="single" w:sz="6" w:space="0" w:color="auto"/>
            </w:tcBorders>
            <w:shd w:val="clear" w:color="auto" w:fill="D9D9D9"/>
            <w:vAlign w:val="center"/>
            <w:hideMark/>
          </w:tcPr>
          <w:p w14:paraId="37AE6053"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Waste Management</w:t>
            </w:r>
            <w:r w:rsidRPr="00F566D9">
              <w:rPr>
                <w:rFonts w:eastAsia="Times New Roman" w:cs="Arial"/>
                <w:sz w:val="20"/>
                <w:szCs w:val="20"/>
                <w:lang w:eastAsia="en-GB"/>
              </w:rPr>
              <w:t> </w:t>
            </w:r>
          </w:p>
        </w:tc>
        <w:tc>
          <w:tcPr>
            <w:tcW w:w="1140" w:type="dxa"/>
            <w:tcBorders>
              <w:top w:val="single" w:sz="6" w:space="0" w:color="auto"/>
              <w:left w:val="nil"/>
              <w:bottom w:val="nil"/>
              <w:right w:val="single" w:sz="6" w:space="0" w:color="auto"/>
            </w:tcBorders>
            <w:shd w:val="clear" w:color="auto" w:fill="D9D9D9"/>
            <w:vAlign w:val="center"/>
            <w:hideMark/>
          </w:tcPr>
          <w:p w14:paraId="37B2190F"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Approved Net Budget </w:t>
            </w:r>
            <w:r w:rsidRPr="00F566D9">
              <w:rPr>
                <w:rFonts w:eastAsia="Times New Roman" w:cs="Arial"/>
                <w:sz w:val="20"/>
                <w:szCs w:val="20"/>
                <w:lang w:eastAsia="en-GB"/>
              </w:rPr>
              <w:t> </w:t>
            </w:r>
          </w:p>
        </w:tc>
        <w:tc>
          <w:tcPr>
            <w:tcW w:w="1065" w:type="dxa"/>
            <w:tcBorders>
              <w:top w:val="single" w:sz="6" w:space="0" w:color="auto"/>
              <w:left w:val="nil"/>
              <w:bottom w:val="nil"/>
              <w:right w:val="single" w:sz="6" w:space="0" w:color="auto"/>
            </w:tcBorders>
            <w:shd w:val="clear" w:color="auto" w:fill="D9D9D9"/>
            <w:vAlign w:val="center"/>
            <w:hideMark/>
          </w:tcPr>
          <w:p w14:paraId="4678242C"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Net Outturn </w:t>
            </w:r>
            <w:r w:rsidRPr="00F566D9">
              <w:rPr>
                <w:rFonts w:eastAsia="Times New Roman" w:cs="Arial"/>
                <w:sz w:val="20"/>
                <w:szCs w:val="20"/>
                <w:lang w:eastAsia="en-GB"/>
              </w:rPr>
              <w:t> </w:t>
            </w:r>
          </w:p>
        </w:tc>
        <w:tc>
          <w:tcPr>
            <w:tcW w:w="1080" w:type="dxa"/>
            <w:tcBorders>
              <w:top w:val="single" w:sz="6" w:space="0" w:color="auto"/>
              <w:left w:val="nil"/>
              <w:bottom w:val="nil"/>
              <w:right w:val="single" w:sz="6" w:space="0" w:color="auto"/>
            </w:tcBorders>
            <w:shd w:val="clear" w:color="auto" w:fill="D9D9D9"/>
            <w:vAlign w:val="center"/>
            <w:hideMark/>
          </w:tcPr>
          <w:p w14:paraId="0A109004"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Net Outturn Variance</w:t>
            </w:r>
            <w:r w:rsidRPr="00F566D9">
              <w:rPr>
                <w:rFonts w:eastAsia="Times New Roman" w:cs="Arial"/>
                <w:sz w:val="20"/>
                <w:szCs w:val="20"/>
                <w:lang w:eastAsia="en-GB"/>
              </w:rPr>
              <w:t> </w:t>
            </w:r>
          </w:p>
        </w:tc>
        <w:tc>
          <w:tcPr>
            <w:tcW w:w="1080" w:type="dxa"/>
            <w:tcBorders>
              <w:top w:val="single" w:sz="6" w:space="0" w:color="auto"/>
              <w:left w:val="nil"/>
              <w:bottom w:val="nil"/>
              <w:right w:val="single" w:sz="6" w:space="0" w:color="auto"/>
            </w:tcBorders>
            <w:shd w:val="clear" w:color="auto" w:fill="D9D9D9"/>
            <w:vAlign w:val="center"/>
            <w:hideMark/>
          </w:tcPr>
          <w:p w14:paraId="3871AFBD"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Net Outturn Variance</w:t>
            </w:r>
            <w:r w:rsidRPr="00F566D9">
              <w:rPr>
                <w:rFonts w:eastAsia="Times New Roman" w:cs="Arial"/>
                <w:sz w:val="20"/>
                <w:szCs w:val="20"/>
                <w:lang w:eastAsia="en-GB"/>
              </w:rPr>
              <w:t> </w:t>
            </w:r>
          </w:p>
        </w:tc>
        <w:tc>
          <w:tcPr>
            <w:tcW w:w="1035" w:type="dxa"/>
            <w:tcBorders>
              <w:top w:val="single" w:sz="6" w:space="0" w:color="auto"/>
              <w:left w:val="nil"/>
              <w:bottom w:val="nil"/>
              <w:right w:val="single" w:sz="6" w:space="0" w:color="auto"/>
            </w:tcBorders>
            <w:shd w:val="clear" w:color="auto" w:fill="D9D9D9"/>
            <w:vAlign w:val="center"/>
            <w:hideMark/>
          </w:tcPr>
          <w:p w14:paraId="7C6FA7AB"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color w:val="auto"/>
                <w:sz w:val="20"/>
                <w:szCs w:val="20"/>
                <w:lang w:eastAsia="en-GB"/>
              </w:rPr>
              <w:t>Q3 Variance</w:t>
            </w:r>
            <w:r w:rsidRPr="00F566D9">
              <w:rPr>
                <w:rFonts w:eastAsia="Times New Roman" w:cs="Arial"/>
                <w:color w:val="auto"/>
                <w:sz w:val="20"/>
                <w:szCs w:val="20"/>
                <w:lang w:eastAsia="en-GB"/>
              </w:rPr>
              <w:t> </w:t>
            </w:r>
          </w:p>
        </w:tc>
        <w:tc>
          <w:tcPr>
            <w:tcW w:w="1335" w:type="dxa"/>
            <w:tcBorders>
              <w:top w:val="single" w:sz="6" w:space="0" w:color="auto"/>
              <w:left w:val="single" w:sz="6" w:space="0" w:color="auto"/>
              <w:bottom w:val="nil"/>
              <w:right w:val="single" w:sz="6" w:space="0" w:color="auto"/>
            </w:tcBorders>
            <w:shd w:val="clear" w:color="auto" w:fill="D9D9D9"/>
            <w:vAlign w:val="center"/>
            <w:hideMark/>
          </w:tcPr>
          <w:p w14:paraId="62804C4C"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color w:val="auto"/>
                <w:sz w:val="20"/>
                <w:szCs w:val="20"/>
                <w:lang w:eastAsia="en-GB"/>
              </w:rPr>
              <w:t>Movement</w:t>
            </w:r>
            <w:r w:rsidRPr="00F566D9">
              <w:rPr>
                <w:rFonts w:eastAsia="Times New Roman" w:cs="Arial"/>
                <w:color w:val="auto"/>
                <w:sz w:val="20"/>
                <w:szCs w:val="20"/>
                <w:lang w:eastAsia="en-GB"/>
              </w:rPr>
              <w:t> </w:t>
            </w:r>
            <w:r w:rsidRPr="00F566D9">
              <w:rPr>
                <w:rFonts w:eastAsia="Times New Roman" w:cs="Arial"/>
                <w:color w:val="auto"/>
                <w:sz w:val="20"/>
                <w:szCs w:val="20"/>
                <w:lang w:eastAsia="en-GB"/>
              </w:rPr>
              <w:br/>
            </w:r>
            <w:r w:rsidRPr="00F566D9">
              <w:rPr>
                <w:rFonts w:eastAsia="Times New Roman" w:cs="Arial"/>
                <w:b/>
                <w:bCs/>
                <w:color w:val="auto"/>
                <w:sz w:val="20"/>
                <w:szCs w:val="20"/>
                <w:lang w:eastAsia="en-GB"/>
              </w:rPr>
              <w:t>From Q3</w:t>
            </w:r>
            <w:r w:rsidRPr="00F566D9">
              <w:rPr>
                <w:rFonts w:eastAsia="Times New Roman" w:cs="Arial"/>
                <w:color w:val="auto"/>
                <w:sz w:val="20"/>
                <w:szCs w:val="20"/>
                <w:lang w:eastAsia="en-GB"/>
              </w:rPr>
              <w:t> </w:t>
            </w:r>
          </w:p>
        </w:tc>
      </w:tr>
      <w:tr w:rsidR="006E5B54" w14:paraId="71A046B1" w14:textId="77777777" w:rsidTr="00F566D9">
        <w:trPr>
          <w:trHeight w:val="255"/>
        </w:trPr>
        <w:tc>
          <w:tcPr>
            <w:tcW w:w="3435" w:type="dxa"/>
            <w:tcBorders>
              <w:top w:val="nil"/>
              <w:left w:val="single" w:sz="6" w:space="0" w:color="auto"/>
              <w:bottom w:val="single" w:sz="6" w:space="0" w:color="auto"/>
              <w:right w:val="single" w:sz="6" w:space="0" w:color="auto"/>
            </w:tcBorders>
            <w:shd w:val="clear" w:color="auto" w:fill="D9D9D9"/>
            <w:vAlign w:val="center"/>
            <w:hideMark/>
          </w:tcPr>
          <w:p w14:paraId="4FAC589F"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 </w:t>
            </w:r>
            <w:r w:rsidRPr="00F566D9">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21D09F02"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£m</w:t>
            </w:r>
            <w:r w:rsidRPr="00F566D9">
              <w:rPr>
                <w:rFonts w:eastAsia="Times New Roman" w:cs="Arial"/>
                <w:sz w:val="20"/>
                <w:szCs w:val="20"/>
                <w:lang w:eastAsia="en-GB"/>
              </w:rPr>
              <w:t> </w:t>
            </w:r>
          </w:p>
        </w:tc>
        <w:tc>
          <w:tcPr>
            <w:tcW w:w="1065" w:type="dxa"/>
            <w:tcBorders>
              <w:top w:val="nil"/>
              <w:left w:val="nil"/>
              <w:bottom w:val="single" w:sz="6" w:space="0" w:color="auto"/>
              <w:right w:val="single" w:sz="6" w:space="0" w:color="auto"/>
            </w:tcBorders>
            <w:shd w:val="clear" w:color="auto" w:fill="D9D9D9"/>
            <w:vAlign w:val="center"/>
            <w:hideMark/>
          </w:tcPr>
          <w:p w14:paraId="5B70E1FF"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£m</w:t>
            </w:r>
            <w:r w:rsidRPr="00F566D9">
              <w:rPr>
                <w:rFonts w:eastAsia="Times New Roman" w:cs="Arial"/>
                <w:sz w:val="20"/>
                <w:szCs w:val="20"/>
                <w:lang w:eastAsia="en-GB"/>
              </w:rPr>
              <w:t> </w:t>
            </w:r>
          </w:p>
        </w:tc>
        <w:tc>
          <w:tcPr>
            <w:tcW w:w="1080" w:type="dxa"/>
            <w:tcBorders>
              <w:top w:val="nil"/>
              <w:left w:val="nil"/>
              <w:bottom w:val="single" w:sz="6" w:space="0" w:color="auto"/>
              <w:right w:val="single" w:sz="6" w:space="0" w:color="auto"/>
            </w:tcBorders>
            <w:shd w:val="clear" w:color="auto" w:fill="D9D9D9"/>
            <w:vAlign w:val="center"/>
            <w:hideMark/>
          </w:tcPr>
          <w:p w14:paraId="149ADE6A"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£m</w:t>
            </w:r>
            <w:r w:rsidRPr="00F566D9">
              <w:rPr>
                <w:rFonts w:eastAsia="Times New Roman" w:cs="Arial"/>
                <w:sz w:val="20"/>
                <w:szCs w:val="20"/>
                <w:lang w:eastAsia="en-GB"/>
              </w:rPr>
              <w:t> </w:t>
            </w:r>
          </w:p>
        </w:tc>
        <w:tc>
          <w:tcPr>
            <w:tcW w:w="1080" w:type="dxa"/>
            <w:tcBorders>
              <w:top w:val="nil"/>
              <w:left w:val="nil"/>
              <w:bottom w:val="single" w:sz="6" w:space="0" w:color="auto"/>
              <w:right w:val="single" w:sz="6" w:space="0" w:color="auto"/>
            </w:tcBorders>
            <w:shd w:val="clear" w:color="auto" w:fill="D9D9D9"/>
            <w:vAlign w:val="center"/>
            <w:hideMark/>
          </w:tcPr>
          <w:p w14:paraId="145335C4"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w:t>
            </w:r>
            <w:r w:rsidRPr="00F566D9">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57426EF4"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color w:val="auto"/>
                <w:sz w:val="20"/>
                <w:szCs w:val="20"/>
                <w:lang w:eastAsia="en-GB"/>
              </w:rPr>
              <w:t>£m</w:t>
            </w:r>
            <w:r w:rsidRPr="00F566D9">
              <w:rPr>
                <w:rFonts w:eastAsia="Times New Roman" w:cs="Arial"/>
                <w:color w:val="auto"/>
                <w:sz w:val="20"/>
                <w:szCs w:val="20"/>
                <w:lang w:eastAsia="en-GB"/>
              </w:rPr>
              <w:t> </w:t>
            </w:r>
          </w:p>
        </w:tc>
        <w:tc>
          <w:tcPr>
            <w:tcW w:w="1335" w:type="dxa"/>
            <w:tcBorders>
              <w:top w:val="nil"/>
              <w:left w:val="single" w:sz="6" w:space="0" w:color="auto"/>
              <w:bottom w:val="single" w:sz="6" w:space="0" w:color="auto"/>
              <w:right w:val="single" w:sz="6" w:space="0" w:color="auto"/>
            </w:tcBorders>
            <w:shd w:val="clear" w:color="auto" w:fill="D9D9D9"/>
            <w:vAlign w:val="center"/>
            <w:hideMark/>
          </w:tcPr>
          <w:p w14:paraId="2AA75CCF" w14:textId="77777777" w:rsidR="00F566D9" w:rsidRPr="00F566D9" w:rsidRDefault="00162F2E" w:rsidP="00F566D9">
            <w:pPr>
              <w:autoSpaceDE/>
              <w:autoSpaceDN/>
              <w:adjustRightInd/>
              <w:spacing w:after="0"/>
              <w:jc w:val="center"/>
              <w:textAlignment w:val="baseline"/>
              <w:rPr>
                <w:rFonts w:ascii="Times New Roman" w:eastAsia="Times New Roman" w:hAnsi="Times New Roman" w:cs="Times New Roman"/>
                <w:color w:val="auto"/>
                <w:lang w:eastAsia="en-GB"/>
              </w:rPr>
            </w:pPr>
            <w:r w:rsidRPr="00F566D9">
              <w:rPr>
                <w:rFonts w:eastAsia="Times New Roman" w:cs="Arial"/>
                <w:b/>
                <w:bCs/>
                <w:color w:val="auto"/>
                <w:sz w:val="20"/>
                <w:szCs w:val="20"/>
                <w:lang w:eastAsia="en-GB"/>
              </w:rPr>
              <w:t>£m</w:t>
            </w:r>
            <w:r w:rsidRPr="00F566D9">
              <w:rPr>
                <w:rFonts w:eastAsia="Times New Roman" w:cs="Arial"/>
                <w:color w:val="auto"/>
                <w:sz w:val="20"/>
                <w:szCs w:val="20"/>
                <w:lang w:eastAsia="en-GB"/>
              </w:rPr>
              <w:t> </w:t>
            </w:r>
          </w:p>
        </w:tc>
      </w:tr>
      <w:tr w:rsidR="006E5B54" w14:paraId="6A985570" w14:textId="77777777" w:rsidTr="00F566D9">
        <w:trPr>
          <w:trHeight w:val="255"/>
        </w:trPr>
        <w:tc>
          <w:tcPr>
            <w:tcW w:w="3435" w:type="dxa"/>
            <w:tcBorders>
              <w:top w:val="nil"/>
              <w:left w:val="single" w:sz="6" w:space="0" w:color="auto"/>
              <w:bottom w:val="single" w:sz="6" w:space="0" w:color="auto"/>
              <w:right w:val="single" w:sz="6" w:space="0" w:color="auto"/>
            </w:tcBorders>
            <w:shd w:val="clear" w:color="auto" w:fill="D9D9D9"/>
            <w:vAlign w:val="center"/>
            <w:hideMark/>
          </w:tcPr>
          <w:p w14:paraId="2CC4D7CF" w14:textId="77777777" w:rsidR="00F566D9" w:rsidRPr="00F566D9" w:rsidRDefault="00162F2E" w:rsidP="00F566D9">
            <w:pPr>
              <w:autoSpaceDE/>
              <w:autoSpaceDN/>
              <w:adjustRightInd/>
              <w:spacing w:after="0"/>
              <w:jc w:val="lef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Waste Management</w:t>
            </w:r>
            <w:r w:rsidRPr="00F566D9">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1697DC12"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sz w:val="20"/>
                <w:szCs w:val="20"/>
                <w:lang w:eastAsia="en-GB"/>
              </w:rPr>
              <w:t>69.398 </w:t>
            </w:r>
          </w:p>
        </w:tc>
        <w:tc>
          <w:tcPr>
            <w:tcW w:w="1065" w:type="dxa"/>
            <w:tcBorders>
              <w:top w:val="nil"/>
              <w:left w:val="nil"/>
              <w:bottom w:val="single" w:sz="6" w:space="0" w:color="auto"/>
              <w:right w:val="single" w:sz="6" w:space="0" w:color="auto"/>
            </w:tcBorders>
            <w:shd w:val="clear" w:color="auto" w:fill="auto"/>
            <w:vAlign w:val="center"/>
            <w:hideMark/>
          </w:tcPr>
          <w:p w14:paraId="5AE25709"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sz w:val="20"/>
                <w:szCs w:val="20"/>
                <w:lang w:eastAsia="en-GB"/>
              </w:rPr>
              <w:t>66.928 </w:t>
            </w:r>
          </w:p>
        </w:tc>
        <w:tc>
          <w:tcPr>
            <w:tcW w:w="1080" w:type="dxa"/>
            <w:tcBorders>
              <w:top w:val="nil"/>
              <w:left w:val="nil"/>
              <w:bottom w:val="single" w:sz="6" w:space="0" w:color="auto"/>
              <w:right w:val="single" w:sz="6" w:space="0" w:color="auto"/>
            </w:tcBorders>
            <w:shd w:val="clear" w:color="auto" w:fill="D9D9D9"/>
            <w:vAlign w:val="center"/>
            <w:hideMark/>
          </w:tcPr>
          <w:p w14:paraId="3831CC76"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sz w:val="20"/>
                <w:szCs w:val="20"/>
                <w:lang w:eastAsia="en-GB"/>
              </w:rPr>
              <w:t>-2.470 </w:t>
            </w:r>
          </w:p>
        </w:tc>
        <w:tc>
          <w:tcPr>
            <w:tcW w:w="1080" w:type="dxa"/>
            <w:tcBorders>
              <w:top w:val="nil"/>
              <w:left w:val="nil"/>
              <w:bottom w:val="single" w:sz="6" w:space="0" w:color="auto"/>
              <w:right w:val="single" w:sz="6" w:space="0" w:color="auto"/>
            </w:tcBorders>
            <w:shd w:val="clear" w:color="auto" w:fill="auto"/>
            <w:vAlign w:val="center"/>
            <w:hideMark/>
          </w:tcPr>
          <w:p w14:paraId="697D9CB0"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sz w:val="20"/>
                <w:szCs w:val="20"/>
                <w:lang w:eastAsia="en-GB"/>
              </w:rPr>
              <w:t>-3.56% </w:t>
            </w:r>
          </w:p>
        </w:tc>
        <w:tc>
          <w:tcPr>
            <w:tcW w:w="1035" w:type="dxa"/>
            <w:tcBorders>
              <w:top w:val="nil"/>
              <w:left w:val="nil"/>
              <w:bottom w:val="single" w:sz="6" w:space="0" w:color="auto"/>
              <w:right w:val="single" w:sz="6" w:space="0" w:color="auto"/>
            </w:tcBorders>
            <w:shd w:val="clear" w:color="auto" w:fill="D9D9D9"/>
            <w:vAlign w:val="center"/>
            <w:hideMark/>
          </w:tcPr>
          <w:p w14:paraId="12F0F344"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color w:val="auto"/>
                <w:sz w:val="20"/>
                <w:szCs w:val="20"/>
                <w:lang w:eastAsia="en-GB"/>
              </w:rPr>
              <w:t>-1.702 </w:t>
            </w:r>
          </w:p>
        </w:tc>
        <w:tc>
          <w:tcPr>
            <w:tcW w:w="1335" w:type="dxa"/>
            <w:tcBorders>
              <w:top w:val="nil"/>
              <w:left w:val="single" w:sz="6" w:space="0" w:color="auto"/>
              <w:bottom w:val="single" w:sz="6" w:space="0" w:color="auto"/>
              <w:right w:val="single" w:sz="6" w:space="0" w:color="auto"/>
            </w:tcBorders>
            <w:shd w:val="clear" w:color="auto" w:fill="auto"/>
            <w:vAlign w:val="center"/>
            <w:hideMark/>
          </w:tcPr>
          <w:p w14:paraId="40B13DB0"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color w:val="auto"/>
                <w:sz w:val="20"/>
                <w:szCs w:val="20"/>
                <w:lang w:eastAsia="en-GB"/>
              </w:rPr>
              <w:t>-0.768 </w:t>
            </w:r>
          </w:p>
        </w:tc>
      </w:tr>
      <w:tr w:rsidR="006E5B54" w14:paraId="5D236E0A" w14:textId="77777777" w:rsidTr="00F566D9">
        <w:trPr>
          <w:trHeight w:val="255"/>
        </w:trPr>
        <w:tc>
          <w:tcPr>
            <w:tcW w:w="3435" w:type="dxa"/>
            <w:tcBorders>
              <w:top w:val="nil"/>
              <w:left w:val="single" w:sz="6" w:space="0" w:color="auto"/>
              <w:bottom w:val="single" w:sz="6" w:space="0" w:color="auto"/>
              <w:right w:val="single" w:sz="6" w:space="0" w:color="auto"/>
            </w:tcBorders>
            <w:shd w:val="clear" w:color="auto" w:fill="D9D9D9"/>
            <w:vAlign w:val="center"/>
            <w:hideMark/>
          </w:tcPr>
          <w:p w14:paraId="711294FB" w14:textId="77777777" w:rsidR="00F566D9" w:rsidRPr="00F566D9" w:rsidRDefault="00162F2E" w:rsidP="00F566D9">
            <w:pPr>
              <w:autoSpaceDE/>
              <w:autoSpaceDN/>
              <w:adjustRightInd/>
              <w:spacing w:after="0"/>
              <w:jc w:val="lef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Total</w:t>
            </w:r>
            <w:r w:rsidRPr="00F566D9">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70EA6594"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69.398</w:t>
            </w:r>
            <w:r w:rsidRPr="00F566D9">
              <w:rPr>
                <w:rFonts w:eastAsia="Times New Roman" w:cs="Arial"/>
                <w:sz w:val="20"/>
                <w:szCs w:val="20"/>
                <w:lang w:eastAsia="en-GB"/>
              </w:rPr>
              <w:t> </w:t>
            </w:r>
          </w:p>
        </w:tc>
        <w:tc>
          <w:tcPr>
            <w:tcW w:w="1065" w:type="dxa"/>
            <w:tcBorders>
              <w:top w:val="nil"/>
              <w:left w:val="nil"/>
              <w:bottom w:val="single" w:sz="6" w:space="0" w:color="auto"/>
              <w:right w:val="single" w:sz="6" w:space="0" w:color="auto"/>
            </w:tcBorders>
            <w:shd w:val="clear" w:color="auto" w:fill="D9D9D9"/>
            <w:vAlign w:val="center"/>
            <w:hideMark/>
          </w:tcPr>
          <w:p w14:paraId="6B47DD78"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66.928</w:t>
            </w:r>
            <w:r w:rsidRPr="00F566D9">
              <w:rPr>
                <w:rFonts w:eastAsia="Times New Roman" w:cs="Arial"/>
                <w:sz w:val="20"/>
                <w:szCs w:val="20"/>
                <w:lang w:eastAsia="en-GB"/>
              </w:rPr>
              <w:t> </w:t>
            </w:r>
          </w:p>
        </w:tc>
        <w:tc>
          <w:tcPr>
            <w:tcW w:w="1080" w:type="dxa"/>
            <w:tcBorders>
              <w:top w:val="nil"/>
              <w:left w:val="nil"/>
              <w:bottom w:val="single" w:sz="6" w:space="0" w:color="auto"/>
              <w:right w:val="single" w:sz="6" w:space="0" w:color="auto"/>
            </w:tcBorders>
            <w:shd w:val="clear" w:color="auto" w:fill="D9D9D9"/>
            <w:vAlign w:val="center"/>
            <w:hideMark/>
          </w:tcPr>
          <w:p w14:paraId="3F08246D"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-2.470</w:t>
            </w:r>
            <w:r w:rsidRPr="00F566D9">
              <w:rPr>
                <w:rFonts w:eastAsia="Times New Roman" w:cs="Arial"/>
                <w:sz w:val="20"/>
                <w:szCs w:val="20"/>
                <w:lang w:eastAsia="en-GB"/>
              </w:rPr>
              <w:t> </w:t>
            </w:r>
          </w:p>
        </w:tc>
        <w:tc>
          <w:tcPr>
            <w:tcW w:w="1080" w:type="dxa"/>
            <w:tcBorders>
              <w:top w:val="nil"/>
              <w:left w:val="nil"/>
              <w:bottom w:val="single" w:sz="6" w:space="0" w:color="auto"/>
              <w:right w:val="single" w:sz="6" w:space="0" w:color="auto"/>
            </w:tcBorders>
            <w:shd w:val="clear" w:color="auto" w:fill="D9D9D9"/>
            <w:vAlign w:val="center"/>
            <w:hideMark/>
          </w:tcPr>
          <w:p w14:paraId="366A4FBA"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-3.56%</w:t>
            </w:r>
            <w:r w:rsidRPr="00F566D9">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27815C27"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color w:val="auto"/>
                <w:sz w:val="20"/>
                <w:szCs w:val="20"/>
                <w:lang w:eastAsia="en-GB"/>
              </w:rPr>
              <w:t>-1.702</w:t>
            </w:r>
            <w:r w:rsidRPr="00F566D9">
              <w:rPr>
                <w:rFonts w:eastAsia="Times New Roman" w:cs="Arial"/>
                <w:color w:val="auto"/>
                <w:sz w:val="20"/>
                <w:szCs w:val="20"/>
                <w:lang w:eastAsia="en-GB"/>
              </w:rPr>
              <w:t> </w:t>
            </w:r>
          </w:p>
        </w:tc>
        <w:tc>
          <w:tcPr>
            <w:tcW w:w="1335" w:type="dxa"/>
            <w:tcBorders>
              <w:top w:val="nil"/>
              <w:left w:val="single" w:sz="6" w:space="0" w:color="auto"/>
              <w:bottom w:val="single" w:sz="6" w:space="0" w:color="auto"/>
              <w:right w:val="single" w:sz="6" w:space="0" w:color="auto"/>
            </w:tcBorders>
            <w:shd w:val="clear" w:color="auto" w:fill="D9D9D9"/>
            <w:vAlign w:val="center"/>
            <w:hideMark/>
          </w:tcPr>
          <w:p w14:paraId="28B905E2"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color w:val="auto"/>
                <w:sz w:val="20"/>
                <w:szCs w:val="20"/>
                <w:lang w:eastAsia="en-GB"/>
              </w:rPr>
              <w:t>-0.768</w:t>
            </w:r>
            <w:r w:rsidRPr="00F566D9">
              <w:rPr>
                <w:rFonts w:eastAsia="Times New Roman" w:cs="Arial"/>
                <w:color w:val="auto"/>
                <w:sz w:val="20"/>
                <w:szCs w:val="20"/>
                <w:lang w:eastAsia="en-GB"/>
              </w:rPr>
              <w:t> </w:t>
            </w:r>
          </w:p>
        </w:tc>
      </w:tr>
      <w:tr w:rsidR="006E5B54" w14:paraId="275F2225" w14:textId="77777777" w:rsidTr="00F566D9">
        <w:trPr>
          <w:trHeight w:val="435"/>
        </w:trPr>
        <w:tc>
          <w:tcPr>
            <w:tcW w:w="3435" w:type="dxa"/>
            <w:tcBorders>
              <w:top w:val="nil"/>
              <w:left w:val="single" w:sz="6" w:space="0" w:color="auto"/>
              <w:bottom w:val="single" w:sz="6" w:space="0" w:color="auto"/>
              <w:right w:val="single" w:sz="6" w:space="0" w:color="auto"/>
            </w:tcBorders>
            <w:shd w:val="clear" w:color="auto" w:fill="D9D9D9"/>
            <w:vAlign w:val="center"/>
            <w:hideMark/>
          </w:tcPr>
          <w:p w14:paraId="334165A7" w14:textId="77777777" w:rsidR="00F566D9" w:rsidRPr="00F566D9" w:rsidRDefault="00162F2E" w:rsidP="00F566D9">
            <w:pPr>
              <w:autoSpaceDE/>
              <w:autoSpaceDN/>
              <w:adjustRightInd/>
              <w:spacing w:after="0"/>
              <w:jc w:val="lef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 xml:space="preserve">Share of unallocated </w:t>
            </w:r>
            <w:r w:rsidR="000B4881">
              <w:rPr>
                <w:rFonts w:eastAsia="Times New Roman" w:cs="Arial"/>
                <w:b/>
                <w:bCs/>
                <w:sz w:val="20"/>
                <w:szCs w:val="20"/>
                <w:lang w:eastAsia="en-GB"/>
              </w:rPr>
              <w:t>COVID</w:t>
            </w:r>
            <w:r w:rsidRPr="00F566D9">
              <w:rPr>
                <w:rFonts w:eastAsia="Times New Roman" w:cs="Arial"/>
                <w:b/>
                <w:bCs/>
                <w:sz w:val="20"/>
                <w:szCs w:val="20"/>
                <w:lang w:eastAsia="en-GB"/>
              </w:rPr>
              <w:t>-19 emergency monies</w:t>
            </w:r>
            <w:r w:rsidRPr="00F566D9">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6EE58059"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sz w:val="20"/>
                <w:szCs w:val="20"/>
                <w:lang w:eastAsia="en-GB"/>
              </w:rPr>
              <w:t>0.723 </w:t>
            </w:r>
          </w:p>
        </w:tc>
        <w:tc>
          <w:tcPr>
            <w:tcW w:w="1065" w:type="dxa"/>
            <w:tcBorders>
              <w:top w:val="nil"/>
              <w:left w:val="nil"/>
              <w:bottom w:val="single" w:sz="6" w:space="0" w:color="auto"/>
              <w:right w:val="single" w:sz="6" w:space="0" w:color="auto"/>
            </w:tcBorders>
            <w:shd w:val="clear" w:color="auto" w:fill="auto"/>
            <w:vAlign w:val="center"/>
            <w:hideMark/>
          </w:tcPr>
          <w:p w14:paraId="7579B783"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sz w:val="20"/>
                <w:szCs w:val="20"/>
                <w:lang w:eastAsia="en-GB"/>
              </w:rPr>
              <w:t>0.000 </w:t>
            </w:r>
          </w:p>
        </w:tc>
        <w:tc>
          <w:tcPr>
            <w:tcW w:w="1080" w:type="dxa"/>
            <w:tcBorders>
              <w:top w:val="nil"/>
              <w:left w:val="nil"/>
              <w:bottom w:val="single" w:sz="6" w:space="0" w:color="auto"/>
              <w:right w:val="single" w:sz="6" w:space="0" w:color="auto"/>
            </w:tcBorders>
            <w:shd w:val="clear" w:color="auto" w:fill="D9D9D9"/>
            <w:vAlign w:val="center"/>
            <w:hideMark/>
          </w:tcPr>
          <w:p w14:paraId="59820D0E"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sz w:val="20"/>
                <w:szCs w:val="20"/>
                <w:lang w:eastAsia="en-GB"/>
              </w:rPr>
              <w:t>-0.723 </w:t>
            </w:r>
          </w:p>
        </w:tc>
        <w:tc>
          <w:tcPr>
            <w:tcW w:w="1080" w:type="dxa"/>
            <w:tcBorders>
              <w:top w:val="nil"/>
              <w:left w:val="nil"/>
              <w:bottom w:val="single" w:sz="6" w:space="0" w:color="auto"/>
              <w:right w:val="single" w:sz="6" w:space="0" w:color="auto"/>
            </w:tcBorders>
            <w:shd w:val="clear" w:color="auto" w:fill="auto"/>
            <w:vAlign w:val="center"/>
            <w:hideMark/>
          </w:tcPr>
          <w:p w14:paraId="6D3BC4A6"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28F40A18"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color w:val="auto"/>
                <w:sz w:val="20"/>
                <w:szCs w:val="20"/>
                <w:lang w:eastAsia="en-GB"/>
              </w:rPr>
              <w:t>-0.723 </w:t>
            </w:r>
          </w:p>
        </w:tc>
        <w:tc>
          <w:tcPr>
            <w:tcW w:w="1335" w:type="dxa"/>
            <w:tcBorders>
              <w:top w:val="nil"/>
              <w:left w:val="single" w:sz="6" w:space="0" w:color="auto"/>
              <w:bottom w:val="single" w:sz="6" w:space="0" w:color="auto"/>
              <w:right w:val="single" w:sz="6" w:space="0" w:color="auto"/>
            </w:tcBorders>
            <w:shd w:val="clear" w:color="auto" w:fill="auto"/>
            <w:vAlign w:val="center"/>
            <w:hideMark/>
          </w:tcPr>
          <w:p w14:paraId="353402E0"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color w:val="auto"/>
                <w:sz w:val="20"/>
                <w:szCs w:val="20"/>
                <w:lang w:eastAsia="en-GB"/>
              </w:rPr>
              <w:t>0.000 </w:t>
            </w:r>
          </w:p>
        </w:tc>
      </w:tr>
      <w:tr w:rsidR="006E5B54" w14:paraId="2A85C64E" w14:textId="77777777" w:rsidTr="00F566D9">
        <w:trPr>
          <w:trHeight w:val="255"/>
        </w:trPr>
        <w:tc>
          <w:tcPr>
            <w:tcW w:w="3435" w:type="dxa"/>
            <w:tcBorders>
              <w:top w:val="nil"/>
              <w:left w:val="single" w:sz="6" w:space="0" w:color="auto"/>
              <w:bottom w:val="single" w:sz="6" w:space="0" w:color="auto"/>
              <w:right w:val="single" w:sz="6" w:space="0" w:color="auto"/>
            </w:tcBorders>
            <w:shd w:val="clear" w:color="auto" w:fill="D9D9D9"/>
            <w:vAlign w:val="center"/>
            <w:hideMark/>
          </w:tcPr>
          <w:p w14:paraId="07ADA5F5" w14:textId="77777777" w:rsidR="00F566D9" w:rsidRPr="00F566D9" w:rsidRDefault="00162F2E" w:rsidP="00F566D9">
            <w:pPr>
              <w:autoSpaceDE/>
              <w:autoSpaceDN/>
              <w:adjustRightInd/>
              <w:spacing w:after="0"/>
              <w:jc w:val="lef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Total Waste Management</w:t>
            </w:r>
            <w:r w:rsidRPr="00F566D9">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2BC46A8B"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70.121</w:t>
            </w:r>
            <w:r w:rsidRPr="00F566D9">
              <w:rPr>
                <w:rFonts w:eastAsia="Times New Roman" w:cs="Arial"/>
                <w:sz w:val="20"/>
                <w:szCs w:val="20"/>
                <w:lang w:eastAsia="en-GB"/>
              </w:rPr>
              <w:t> </w:t>
            </w:r>
          </w:p>
        </w:tc>
        <w:tc>
          <w:tcPr>
            <w:tcW w:w="1065" w:type="dxa"/>
            <w:tcBorders>
              <w:top w:val="nil"/>
              <w:left w:val="nil"/>
              <w:bottom w:val="single" w:sz="6" w:space="0" w:color="auto"/>
              <w:right w:val="single" w:sz="6" w:space="0" w:color="auto"/>
            </w:tcBorders>
            <w:shd w:val="clear" w:color="auto" w:fill="D9D9D9"/>
            <w:vAlign w:val="center"/>
            <w:hideMark/>
          </w:tcPr>
          <w:p w14:paraId="2938155D"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66.928</w:t>
            </w:r>
            <w:r w:rsidRPr="00F566D9">
              <w:rPr>
                <w:rFonts w:eastAsia="Times New Roman" w:cs="Arial"/>
                <w:sz w:val="20"/>
                <w:szCs w:val="20"/>
                <w:lang w:eastAsia="en-GB"/>
              </w:rPr>
              <w:t> </w:t>
            </w:r>
          </w:p>
        </w:tc>
        <w:tc>
          <w:tcPr>
            <w:tcW w:w="1080" w:type="dxa"/>
            <w:tcBorders>
              <w:top w:val="nil"/>
              <w:left w:val="nil"/>
              <w:bottom w:val="single" w:sz="6" w:space="0" w:color="auto"/>
              <w:right w:val="single" w:sz="6" w:space="0" w:color="auto"/>
            </w:tcBorders>
            <w:shd w:val="clear" w:color="auto" w:fill="D9D9D9"/>
            <w:vAlign w:val="center"/>
            <w:hideMark/>
          </w:tcPr>
          <w:p w14:paraId="67985378"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-3.193</w:t>
            </w:r>
            <w:r w:rsidRPr="00F566D9">
              <w:rPr>
                <w:rFonts w:eastAsia="Times New Roman" w:cs="Arial"/>
                <w:sz w:val="20"/>
                <w:szCs w:val="20"/>
                <w:lang w:eastAsia="en-GB"/>
              </w:rPr>
              <w:t> </w:t>
            </w:r>
          </w:p>
        </w:tc>
        <w:tc>
          <w:tcPr>
            <w:tcW w:w="1080" w:type="dxa"/>
            <w:tcBorders>
              <w:top w:val="nil"/>
              <w:left w:val="nil"/>
              <w:bottom w:val="single" w:sz="6" w:space="0" w:color="auto"/>
              <w:right w:val="single" w:sz="6" w:space="0" w:color="auto"/>
            </w:tcBorders>
            <w:shd w:val="clear" w:color="auto" w:fill="D9D9D9"/>
            <w:vAlign w:val="center"/>
            <w:hideMark/>
          </w:tcPr>
          <w:p w14:paraId="59C715C2"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sz w:val="20"/>
                <w:szCs w:val="20"/>
                <w:lang w:eastAsia="en-GB"/>
              </w:rPr>
              <w:t>-4.55%</w:t>
            </w:r>
            <w:r w:rsidRPr="00F566D9">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459A9449"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color w:val="auto"/>
                <w:sz w:val="20"/>
                <w:szCs w:val="20"/>
                <w:lang w:eastAsia="en-GB"/>
              </w:rPr>
              <w:t>-2.425</w:t>
            </w:r>
            <w:r w:rsidRPr="00F566D9">
              <w:rPr>
                <w:rFonts w:eastAsia="Times New Roman" w:cs="Arial"/>
                <w:color w:val="auto"/>
                <w:sz w:val="20"/>
                <w:szCs w:val="20"/>
                <w:lang w:eastAsia="en-GB"/>
              </w:rPr>
              <w:t> </w:t>
            </w:r>
          </w:p>
        </w:tc>
        <w:tc>
          <w:tcPr>
            <w:tcW w:w="1335" w:type="dxa"/>
            <w:tcBorders>
              <w:top w:val="nil"/>
              <w:left w:val="single" w:sz="6" w:space="0" w:color="auto"/>
              <w:bottom w:val="single" w:sz="6" w:space="0" w:color="auto"/>
              <w:right w:val="single" w:sz="6" w:space="0" w:color="auto"/>
            </w:tcBorders>
            <w:shd w:val="clear" w:color="auto" w:fill="D9D9D9"/>
            <w:vAlign w:val="center"/>
            <w:hideMark/>
          </w:tcPr>
          <w:p w14:paraId="56378212" w14:textId="77777777" w:rsidR="00F566D9" w:rsidRPr="00F566D9" w:rsidRDefault="00162F2E" w:rsidP="00F566D9">
            <w:pPr>
              <w:autoSpaceDE/>
              <w:autoSpaceDN/>
              <w:adjustRightInd/>
              <w:spacing w:after="0"/>
              <w:jc w:val="right"/>
              <w:textAlignment w:val="baseline"/>
              <w:rPr>
                <w:rFonts w:ascii="Times New Roman" w:eastAsia="Times New Roman" w:hAnsi="Times New Roman" w:cs="Times New Roman"/>
                <w:color w:val="auto"/>
                <w:lang w:eastAsia="en-GB"/>
              </w:rPr>
            </w:pPr>
            <w:r w:rsidRPr="00F566D9">
              <w:rPr>
                <w:rFonts w:eastAsia="Times New Roman" w:cs="Arial"/>
                <w:b/>
                <w:bCs/>
                <w:color w:val="auto"/>
                <w:sz w:val="20"/>
                <w:szCs w:val="20"/>
                <w:lang w:eastAsia="en-GB"/>
              </w:rPr>
              <w:t>-0.768</w:t>
            </w:r>
            <w:r w:rsidRPr="00F566D9">
              <w:rPr>
                <w:rFonts w:eastAsia="Times New Roman" w:cs="Arial"/>
                <w:color w:val="auto"/>
                <w:sz w:val="20"/>
                <w:szCs w:val="20"/>
                <w:lang w:eastAsia="en-GB"/>
              </w:rPr>
              <w:t> </w:t>
            </w:r>
          </w:p>
        </w:tc>
      </w:tr>
    </w:tbl>
    <w:p w14:paraId="6915690A" w14:textId="77777777" w:rsidR="00F566D9" w:rsidRPr="00F566D9" w:rsidRDefault="00162F2E" w:rsidP="00626DB7">
      <w:pPr>
        <w:autoSpaceDE/>
        <w:autoSpaceDN/>
        <w:adjustRightInd/>
        <w:spacing w:after="0"/>
        <w:contextualSpacing/>
        <w:textAlignment w:val="baseline"/>
        <w:rPr>
          <w:rFonts w:ascii="Segoe UI" w:eastAsia="Times New Roman" w:hAnsi="Segoe UI" w:cs="Segoe UI"/>
          <w:color w:val="auto"/>
          <w:sz w:val="18"/>
          <w:szCs w:val="18"/>
          <w:lang w:eastAsia="en-GB"/>
        </w:rPr>
      </w:pPr>
      <w:r w:rsidRPr="00F566D9">
        <w:rPr>
          <w:rFonts w:eastAsia="Times New Roman" w:cs="Arial"/>
          <w:color w:val="auto"/>
          <w:lang w:eastAsia="en-GB"/>
        </w:rPr>
        <w:t> </w:t>
      </w:r>
    </w:p>
    <w:p w14:paraId="756B8224" w14:textId="77777777" w:rsidR="00F566D9" w:rsidRDefault="00162F2E" w:rsidP="00626DB7">
      <w:pPr>
        <w:autoSpaceDE/>
        <w:autoSpaceDN/>
        <w:adjustRightInd/>
        <w:spacing w:after="0"/>
        <w:contextualSpacing/>
        <w:textAlignment w:val="baseline"/>
        <w:rPr>
          <w:rFonts w:eastAsia="Times New Roman" w:cs="Arial"/>
          <w:color w:val="auto"/>
          <w:lang w:eastAsia="en-GB"/>
        </w:rPr>
      </w:pPr>
      <w:r w:rsidRPr="00F566D9">
        <w:rPr>
          <w:rFonts w:eastAsia="Times New Roman" w:cs="Arial"/>
          <w:color w:val="auto"/>
          <w:lang w:eastAsia="en-GB"/>
        </w:rPr>
        <w:t xml:space="preserve">The total net approved budget for Waste Management in 2021/22 is £70.121m including an allocation of £723,000 for </w:t>
      </w:r>
      <w:r w:rsidR="0026517A">
        <w:rPr>
          <w:rFonts w:eastAsia="Times New Roman" w:cs="Arial"/>
          <w:color w:val="auto"/>
          <w:lang w:eastAsia="en-GB"/>
        </w:rPr>
        <w:t>C</w:t>
      </w:r>
      <w:r w:rsidR="00626DB7">
        <w:rPr>
          <w:rFonts w:eastAsia="Times New Roman" w:cs="Arial"/>
          <w:color w:val="auto"/>
          <w:lang w:eastAsia="en-GB"/>
        </w:rPr>
        <w:t>ovid</w:t>
      </w:r>
      <w:r w:rsidRPr="00F566D9">
        <w:rPr>
          <w:rFonts w:eastAsia="Times New Roman" w:cs="Arial"/>
          <w:color w:val="auto"/>
          <w:lang w:eastAsia="en-GB"/>
        </w:rPr>
        <w:t>-19 for the first 3 months of 2021/22.   The service underspent by £3.193m in 2021/22. </w:t>
      </w:r>
    </w:p>
    <w:p w14:paraId="386C934B" w14:textId="77777777" w:rsidR="00027979" w:rsidRDefault="00027979" w:rsidP="00626DB7">
      <w:pPr>
        <w:autoSpaceDE/>
        <w:autoSpaceDN/>
        <w:adjustRightInd/>
        <w:spacing w:after="0"/>
        <w:contextualSpacing/>
        <w:textAlignment w:val="baseline"/>
        <w:rPr>
          <w:rFonts w:eastAsia="Times New Roman" w:cs="Arial"/>
          <w:color w:val="auto"/>
          <w:lang w:eastAsia="en-GB"/>
        </w:rPr>
      </w:pPr>
    </w:p>
    <w:p w14:paraId="385B7399"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normaltextrun"/>
          <w:rFonts w:ascii="Arial" w:hAnsi="Arial"/>
        </w:rPr>
        <w:lastRenderedPageBreak/>
        <w:t xml:space="preserve">Throughout the </w:t>
      </w:r>
      <w:r w:rsidR="00710940">
        <w:rPr>
          <w:rStyle w:val="normaltextrun"/>
          <w:rFonts w:ascii="Arial" w:hAnsi="Arial"/>
        </w:rPr>
        <w:t>previous</w:t>
      </w:r>
      <w:r>
        <w:rPr>
          <w:rStyle w:val="normaltextrun"/>
          <w:rFonts w:ascii="Arial" w:hAnsi="Arial"/>
        </w:rPr>
        <w:t xml:space="preserve"> financial year (2020/21) the pandemic had a significant impact on the composition of waste collected with increases of over 30,000 tonnes of waste collected at the kerbside, partly offset by a reduction of 10,000 tonnes collected at Household Waste Recycling Centres (HWRC) which were closed for part of the year and ran with limited capacity once reopened. </w:t>
      </w:r>
      <w:r>
        <w:rPr>
          <w:rStyle w:val="eop"/>
          <w:rFonts w:ascii="Arial" w:hAnsi="Arial"/>
        </w:rPr>
        <w:t> </w:t>
      </w:r>
    </w:p>
    <w:p w14:paraId="276E75C5"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eop"/>
          <w:rFonts w:ascii="Arial" w:hAnsi="Arial"/>
        </w:rPr>
        <w:t> </w:t>
      </w:r>
    </w:p>
    <w:p w14:paraId="53A8E174"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normaltextrun"/>
          <w:rFonts w:ascii="Arial" w:hAnsi="Arial"/>
        </w:rPr>
        <w:t>Throughout 2021/22 there were some reductions in kerbside collections compared to 2020/21 but these were offset by an increase in waste at the HWRCs and overall tonnages were similar to 2020/21, although this was still 8,000 more tonnes than assumed in the budget.  </w:t>
      </w:r>
      <w:r>
        <w:rPr>
          <w:rStyle w:val="eop"/>
          <w:rFonts w:ascii="Arial" w:hAnsi="Arial"/>
        </w:rPr>
        <w:t> </w:t>
      </w:r>
    </w:p>
    <w:p w14:paraId="10DE05A5"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eop"/>
          <w:rFonts w:ascii="Arial" w:hAnsi="Arial"/>
        </w:rPr>
        <w:t> </w:t>
      </w:r>
    </w:p>
    <w:p w14:paraId="308B5100"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normaltextrun"/>
          <w:rFonts w:ascii="Arial" w:hAnsi="Arial"/>
        </w:rPr>
        <w:t>These additional costs have been partly offset by more tonnes being diverted from landfill at a lower price and the overall impact of these factors resulted in an overspend on waste disposal costs of £854,000.</w:t>
      </w:r>
      <w:r>
        <w:rPr>
          <w:rStyle w:val="eop"/>
          <w:rFonts w:ascii="Arial" w:hAnsi="Arial"/>
        </w:rPr>
        <w:t> </w:t>
      </w:r>
    </w:p>
    <w:p w14:paraId="6BAF4078"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eop"/>
          <w:rFonts w:ascii="Arial" w:hAnsi="Arial"/>
        </w:rPr>
        <w:t> </w:t>
      </w:r>
    </w:p>
    <w:p w14:paraId="3D4922C5"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normaltextrun"/>
          <w:rFonts w:ascii="Arial" w:hAnsi="Arial"/>
        </w:rPr>
        <w:t xml:space="preserve">The above was offset by underspends of £3.223m relating to increased income from recycled waste predominantly due to significant increases in the price of metals and cardboard. These markets are volatile and are always subject to large fluctuations and will be kept under review </w:t>
      </w:r>
      <w:r w:rsidR="002C1E44">
        <w:rPr>
          <w:rStyle w:val="normaltextrun"/>
          <w:rFonts w:ascii="Arial" w:hAnsi="Arial"/>
        </w:rPr>
        <w:t>in</w:t>
      </w:r>
      <w:r>
        <w:rPr>
          <w:rStyle w:val="normaltextrun"/>
          <w:rFonts w:ascii="Arial" w:hAnsi="Arial"/>
        </w:rPr>
        <w:t xml:space="preserve"> 2022/23.  </w:t>
      </w:r>
      <w:r>
        <w:rPr>
          <w:rStyle w:val="eop"/>
          <w:rFonts w:ascii="Arial" w:hAnsi="Arial"/>
        </w:rPr>
        <w:t> </w:t>
      </w:r>
    </w:p>
    <w:p w14:paraId="39C7BE0D"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eop"/>
          <w:rFonts w:ascii="Arial" w:hAnsi="Arial"/>
        </w:rPr>
        <w:t> </w:t>
      </w:r>
    </w:p>
    <w:p w14:paraId="3ED2D46F"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normaltextrun"/>
          <w:rFonts w:ascii="Arial" w:hAnsi="Arial"/>
        </w:rPr>
        <w:t>Further underspends of £462,000 relate to operating and lifecycle costs at the waste recovery parks although £314,000 of this was non-recurring and relates to lower</w:t>
      </w:r>
      <w:r w:rsidR="004E35E3">
        <w:rPr>
          <w:rStyle w:val="normaltextrun"/>
          <w:rFonts w:ascii="Arial" w:hAnsi="Arial"/>
        </w:rPr>
        <w:t>-</w:t>
      </w:r>
      <w:r>
        <w:rPr>
          <w:rStyle w:val="normaltextrun"/>
          <w:rFonts w:ascii="Arial" w:hAnsi="Arial"/>
        </w:rPr>
        <w:t>than</w:t>
      </w:r>
      <w:r w:rsidR="004E35E3">
        <w:rPr>
          <w:rStyle w:val="normaltextrun"/>
          <w:rFonts w:ascii="Arial" w:hAnsi="Arial"/>
        </w:rPr>
        <w:t>-</w:t>
      </w:r>
      <w:r>
        <w:rPr>
          <w:rStyle w:val="normaltextrun"/>
          <w:rFonts w:ascii="Arial" w:hAnsi="Arial"/>
        </w:rPr>
        <w:t>expected operating costs in 2020/21.</w:t>
      </w:r>
      <w:r>
        <w:rPr>
          <w:rStyle w:val="eop"/>
          <w:rFonts w:ascii="Arial" w:hAnsi="Arial"/>
        </w:rPr>
        <w:t> </w:t>
      </w:r>
    </w:p>
    <w:p w14:paraId="392C8CC0"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eop"/>
          <w:rFonts w:ascii="Arial" w:hAnsi="Arial"/>
        </w:rPr>
        <w:t> </w:t>
      </w:r>
    </w:p>
    <w:p w14:paraId="7D208733"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normaltextrun"/>
          <w:rFonts w:ascii="Arial" w:hAnsi="Arial"/>
        </w:rPr>
        <w:t>A provision of £350,000 has been made to mitigate the impact of recent increases in fuel and energy prices in 2022/23, although it remains uncertain what the eventual impact will be. </w:t>
      </w:r>
      <w:r>
        <w:rPr>
          <w:rStyle w:val="eop"/>
          <w:rFonts w:ascii="Arial" w:hAnsi="Arial"/>
        </w:rPr>
        <w:t> </w:t>
      </w:r>
    </w:p>
    <w:p w14:paraId="63EFAD7B" w14:textId="77777777" w:rsidR="00027979" w:rsidRDefault="00162F2E" w:rsidP="00626DB7">
      <w:pPr>
        <w:pStyle w:val="paragraph"/>
        <w:spacing w:before="0" w:beforeAutospacing="0" w:after="0" w:afterAutospacing="0"/>
        <w:contextualSpacing/>
        <w:jc w:val="both"/>
        <w:textAlignment w:val="baseline"/>
        <w:rPr>
          <w:rFonts w:ascii="Segoe UI" w:hAnsi="Segoe UI" w:cs="Segoe UI"/>
          <w:sz w:val="18"/>
          <w:szCs w:val="18"/>
        </w:rPr>
      </w:pPr>
      <w:r>
        <w:rPr>
          <w:rStyle w:val="eop"/>
          <w:rFonts w:ascii="Arial" w:hAnsi="Arial"/>
        </w:rPr>
        <w:t>  </w:t>
      </w:r>
    </w:p>
    <w:p w14:paraId="400A1680" w14:textId="5A625B3E" w:rsidR="00B61F72" w:rsidRDefault="00162F2E" w:rsidP="00626DB7">
      <w:pPr>
        <w:pStyle w:val="paragraph"/>
        <w:spacing w:before="0" w:beforeAutospacing="0" w:after="0" w:afterAutospacing="0"/>
        <w:contextualSpacing/>
        <w:jc w:val="both"/>
        <w:textAlignment w:val="baseline"/>
        <w:rPr>
          <w:rStyle w:val="eop"/>
          <w:rFonts w:ascii="Arial" w:hAnsi="Arial"/>
        </w:rPr>
      </w:pPr>
      <w:r>
        <w:rPr>
          <w:rStyle w:val="normaltextrun"/>
          <w:rFonts w:ascii="Arial" w:hAnsi="Arial"/>
        </w:rPr>
        <w:t>The outturn has improved by £768,000 compared to quarter 3 predominantly due to further increases in income for recycled waste and a reduction in waste tonnages previously forecast, partly offset by the provision for fuel and energy price increases. </w:t>
      </w:r>
      <w:r>
        <w:rPr>
          <w:rStyle w:val="eop"/>
          <w:rFonts w:ascii="Arial" w:hAnsi="Arial"/>
        </w:rPr>
        <w:t> </w:t>
      </w:r>
    </w:p>
    <w:tbl>
      <w:tblPr>
        <w:tblW w:w="0" w:type="auto"/>
        <w:tblLayout w:type="fixed"/>
        <w:tblLook w:val="04A0" w:firstRow="1" w:lastRow="0" w:firstColumn="1" w:lastColumn="0" w:noHBand="0" w:noVBand="1"/>
      </w:tblPr>
      <w:tblGrid>
        <w:gridCol w:w="8209"/>
        <w:gridCol w:w="776"/>
      </w:tblGrid>
      <w:tr w:rsidR="006E5B54" w14:paraId="0392C936" w14:textId="77777777" w:rsidTr="51437C17">
        <w:trPr>
          <w:trHeight w:val="195"/>
        </w:trPr>
        <w:tc>
          <w:tcPr>
            <w:tcW w:w="8209" w:type="dxa"/>
            <w:tcBorders>
              <w:top w:val="nil"/>
              <w:left w:val="nil"/>
              <w:bottom w:val="nil"/>
              <w:right w:val="nil"/>
            </w:tcBorders>
            <w:vAlign w:val="bottom"/>
          </w:tcPr>
          <w:p w14:paraId="5E0DF94D" w14:textId="77777777" w:rsidR="6CB0BE6F" w:rsidRDefault="6CB0BE6F" w:rsidP="00626DB7">
            <w:pPr>
              <w:spacing w:after="0"/>
              <w:contextualSpacing/>
              <w:rPr>
                <w:rFonts w:ascii="Times New Roman" w:eastAsia="Times New Roman" w:hAnsi="Times New Roman" w:cs="Times New Roman"/>
                <w:sz w:val="20"/>
                <w:szCs w:val="20"/>
              </w:rPr>
            </w:pPr>
          </w:p>
        </w:tc>
        <w:tc>
          <w:tcPr>
            <w:tcW w:w="776" w:type="dxa"/>
            <w:tcBorders>
              <w:top w:val="nil"/>
              <w:left w:val="nil"/>
              <w:bottom w:val="nil"/>
              <w:right w:val="nil"/>
            </w:tcBorders>
            <w:vAlign w:val="bottom"/>
          </w:tcPr>
          <w:p w14:paraId="5921DFC7" w14:textId="77777777" w:rsidR="6CB0BE6F" w:rsidRDefault="6CB0BE6F" w:rsidP="00626DB7">
            <w:pPr>
              <w:spacing w:after="0"/>
              <w:contextualSpacing/>
              <w:rPr>
                <w:rFonts w:ascii="Times New Roman" w:eastAsia="Times New Roman" w:hAnsi="Times New Roman" w:cs="Times New Roman"/>
                <w:sz w:val="20"/>
                <w:szCs w:val="20"/>
              </w:rPr>
            </w:pPr>
          </w:p>
        </w:tc>
      </w:tr>
    </w:tbl>
    <w:p w14:paraId="313DD005" w14:textId="77777777" w:rsidR="00D10794" w:rsidRPr="00AB6A4E" w:rsidRDefault="00162F2E" w:rsidP="00D10794">
      <w:pPr>
        <w:spacing w:after="0"/>
        <w:rPr>
          <w:rFonts w:cs="Arial"/>
          <w:b/>
        </w:rPr>
      </w:pPr>
      <w:r w:rsidRPr="00AB6A4E">
        <w:rPr>
          <w:rFonts w:eastAsia="Times New Roman" w:cs="Arial"/>
          <w:b/>
          <w:lang w:eastAsia="en-GB"/>
        </w:rPr>
        <w:t>3.9</w:t>
      </w:r>
      <w:r>
        <w:tab/>
      </w:r>
      <w:r w:rsidRPr="00AB6A4E">
        <w:rPr>
          <w:rFonts w:cs="Arial"/>
          <w:b/>
        </w:rPr>
        <w:t xml:space="preserve">Finance </w:t>
      </w:r>
    </w:p>
    <w:p w14:paraId="2B621A86" w14:textId="77777777" w:rsidR="00DC5E60" w:rsidRDefault="00DC5E60" w:rsidP="00D10794">
      <w:pPr>
        <w:spacing w:after="0"/>
        <w:rPr>
          <w:rFonts w:cs="Arial"/>
          <w:b/>
          <w:highlight w:val="yellow"/>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0"/>
        <w:gridCol w:w="1104"/>
        <w:gridCol w:w="1062"/>
        <w:gridCol w:w="1071"/>
        <w:gridCol w:w="1071"/>
        <w:gridCol w:w="1010"/>
      </w:tblGrid>
      <w:tr w:rsidR="006E5B54" w14:paraId="18A7A8E0" w14:textId="77777777" w:rsidTr="00BE25B2">
        <w:trPr>
          <w:trHeight w:val="645"/>
        </w:trPr>
        <w:tc>
          <w:tcPr>
            <w:tcW w:w="3600" w:type="dxa"/>
            <w:tcBorders>
              <w:top w:val="single" w:sz="6" w:space="0" w:color="auto"/>
              <w:left w:val="single" w:sz="6" w:space="0" w:color="auto"/>
              <w:bottom w:val="nil"/>
              <w:right w:val="single" w:sz="6" w:space="0" w:color="auto"/>
            </w:tcBorders>
            <w:shd w:val="clear" w:color="auto" w:fill="D9D9D9"/>
            <w:vAlign w:val="center"/>
            <w:hideMark/>
          </w:tcPr>
          <w:p w14:paraId="6DA03DD3"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Finance</w:t>
            </w:r>
            <w:r w:rsidRPr="00DC5E60">
              <w:rPr>
                <w:rFonts w:eastAsia="Times New Roman" w:cs="Arial"/>
                <w:sz w:val="20"/>
                <w:szCs w:val="20"/>
                <w:lang w:eastAsia="en-GB"/>
              </w:rPr>
              <w:t> </w:t>
            </w:r>
          </w:p>
        </w:tc>
        <w:tc>
          <w:tcPr>
            <w:tcW w:w="1140" w:type="dxa"/>
            <w:tcBorders>
              <w:top w:val="single" w:sz="6" w:space="0" w:color="auto"/>
              <w:left w:val="nil"/>
              <w:bottom w:val="nil"/>
              <w:right w:val="single" w:sz="6" w:space="0" w:color="auto"/>
            </w:tcBorders>
            <w:shd w:val="clear" w:color="auto" w:fill="D9D9D9"/>
            <w:vAlign w:val="center"/>
            <w:hideMark/>
          </w:tcPr>
          <w:p w14:paraId="3770BBDE"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Approved Net Budget </w:t>
            </w:r>
            <w:r w:rsidRPr="00DC5E60">
              <w:rPr>
                <w:rFonts w:eastAsia="Times New Roman" w:cs="Arial"/>
                <w:sz w:val="20"/>
                <w:szCs w:val="20"/>
                <w:lang w:eastAsia="en-GB"/>
              </w:rPr>
              <w:t> </w:t>
            </w:r>
          </w:p>
        </w:tc>
        <w:tc>
          <w:tcPr>
            <w:tcW w:w="1110" w:type="dxa"/>
            <w:tcBorders>
              <w:top w:val="single" w:sz="6" w:space="0" w:color="auto"/>
              <w:left w:val="nil"/>
              <w:bottom w:val="nil"/>
              <w:right w:val="single" w:sz="6" w:space="0" w:color="auto"/>
            </w:tcBorders>
            <w:shd w:val="clear" w:color="auto" w:fill="D9D9D9"/>
            <w:vAlign w:val="center"/>
            <w:hideMark/>
          </w:tcPr>
          <w:p w14:paraId="7AE402FF"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Net Outturn </w:t>
            </w:r>
            <w:r w:rsidRPr="00DC5E60">
              <w:rPr>
                <w:rFonts w:eastAsia="Times New Roman" w:cs="Arial"/>
                <w:sz w:val="20"/>
                <w:szCs w:val="20"/>
                <w:lang w:eastAsia="en-GB"/>
              </w:rPr>
              <w:t> </w:t>
            </w:r>
          </w:p>
        </w:tc>
        <w:tc>
          <w:tcPr>
            <w:tcW w:w="1110" w:type="dxa"/>
            <w:tcBorders>
              <w:top w:val="single" w:sz="6" w:space="0" w:color="auto"/>
              <w:left w:val="nil"/>
              <w:bottom w:val="nil"/>
              <w:right w:val="single" w:sz="6" w:space="0" w:color="auto"/>
            </w:tcBorders>
            <w:shd w:val="clear" w:color="auto" w:fill="D9D9D9"/>
            <w:vAlign w:val="center"/>
            <w:hideMark/>
          </w:tcPr>
          <w:p w14:paraId="1853D831"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Net Outturn Variance</w:t>
            </w:r>
            <w:r w:rsidRPr="00DC5E60">
              <w:rPr>
                <w:rFonts w:eastAsia="Times New Roman" w:cs="Arial"/>
                <w:sz w:val="20"/>
                <w:szCs w:val="20"/>
                <w:lang w:eastAsia="en-GB"/>
              </w:rPr>
              <w:t> </w:t>
            </w:r>
          </w:p>
        </w:tc>
        <w:tc>
          <w:tcPr>
            <w:tcW w:w="1110" w:type="dxa"/>
            <w:tcBorders>
              <w:top w:val="single" w:sz="6" w:space="0" w:color="auto"/>
              <w:left w:val="nil"/>
              <w:bottom w:val="nil"/>
              <w:right w:val="single" w:sz="6" w:space="0" w:color="auto"/>
            </w:tcBorders>
            <w:shd w:val="clear" w:color="auto" w:fill="D9D9D9"/>
            <w:vAlign w:val="center"/>
            <w:hideMark/>
          </w:tcPr>
          <w:p w14:paraId="63998479"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Net Outturn Variance</w:t>
            </w:r>
            <w:r w:rsidRPr="00DC5E60">
              <w:rPr>
                <w:rFonts w:eastAsia="Times New Roman" w:cs="Arial"/>
                <w:sz w:val="20"/>
                <w:szCs w:val="20"/>
                <w:lang w:eastAsia="en-GB"/>
              </w:rPr>
              <w:t> </w:t>
            </w:r>
          </w:p>
        </w:tc>
        <w:tc>
          <w:tcPr>
            <w:tcW w:w="1035" w:type="dxa"/>
            <w:tcBorders>
              <w:top w:val="single" w:sz="6" w:space="0" w:color="auto"/>
              <w:left w:val="nil"/>
              <w:bottom w:val="nil"/>
              <w:right w:val="single" w:sz="6" w:space="0" w:color="auto"/>
            </w:tcBorders>
            <w:shd w:val="clear" w:color="auto" w:fill="D9D9D9"/>
            <w:vAlign w:val="center"/>
            <w:hideMark/>
          </w:tcPr>
          <w:p w14:paraId="137C0A66"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color w:val="auto"/>
                <w:sz w:val="20"/>
                <w:szCs w:val="20"/>
                <w:lang w:eastAsia="en-GB"/>
              </w:rPr>
              <w:t>Q3 Variance</w:t>
            </w:r>
            <w:r w:rsidRPr="00DC5E60">
              <w:rPr>
                <w:rFonts w:eastAsia="Times New Roman" w:cs="Arial"/>
                <w:color w:val="auto"/>
                <w:sz w:val="20"/>
                <w:szCs w:val="20"/>
                <w:lang w:eastAsia="en-GB"/>
              </w:rPr>
              <w:t> </w:t>
            </w:r>
          </w:p>
        </w:tc>
      </w:tr>
      <w:tr w:rsidR="006E5B54" w14:paraId="22B03552" w14:textId="77777777" w:rsidTr="00BE25B2">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7306473A"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 </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52E78291"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£m</w:t>
            </w:r>
            <w:r w:rsidRPr="00DC5E60">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1688D051"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£m</w:t>
            </w:r>
            <w:r w:rsidRPr="00DC5E60">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19AC6C86"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£m</w:t>
            </w:r>
            <w:r w:rsidRPr="00DC5E60">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06CC13E5"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w:t>
            </w:r>
            <w:r w:rsidRPr="00DC5E60">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5E23E90B" w14:textId="77777777" w:rsidR="00DC5E60" w:rsidRPr="00DC5E60" w:rsidRDefault="00162F2E" w:rsidP="00DC5E60">
            <w:pPr>
              <w:autoSpaceDE/>
              <w:autoSpaceDN/>
              <w:adjustRightInd/>
              <w:spacing w:after="0"/>
              <w:jc w:val="center"/>
              <w:textAlignment w:val="baseline"/>
              <w:rPr>
                <w:rFonts w:ascii="Times New Roman" w:eastAsia="Times New Roman" w:hAnsi="Times New Roman" w:cs="Times New Roman"/>
                <w:color w:val="auto"/>
                <w:lang w:eastAsia="en-GB"/>
              </w:rPr>
            </w:pPr>
            <w:r w:rsidRPr="00DC5E60">
              <w:rPr>
                <w:rFonts w:eastAsia="Times New Roman" w:cs="Arial"/>
                <w:b/>
                <w:bCs/>
                <w:color w:val="auto"/>
                <w:sz w:val="20"/>
                <w:szCs w:val="20"/>
                <w:lang w:eastAsia="en-GB"/>
              </w:rPr>
              <w:t>£m</w:t>
            </w:r>
            <w:r w:rsidRPr="00DC5E60">
              <w:rPr>
                <w:rFonts w:eastAsia="Times New Roman" w:cs="Arial"/>
                <w:color w:val="auto"/>
                <w:sz w:val="20"/>
                <w:szCs w:val="20"/>
                <w:lang w:eastAsia="en-GB"/>
              </w:rPr>
              <w:t> </w:t>
            </w:r>
          </w:p>
        </w:tc>
      </w:tr>
      <w:tr w:rsidR="006E5B54" w14:paraId="4039D81E"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5CFA5AF6"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Lancashire Pension Fund</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0B8076D9"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-0.001 </w:t>
            </w:r>
          </w:p>
        </w:tc>
        <w:tc>
          <w:tcPr>
            <w:tcW w:w="1110" w:type="dxa"/>
            <w:tcBorders>
              <w:top w:val="nil"/>
              <w:left w:val="nil"/>
              <w:bottom w:val="single" w:sz="6" w:space="0" w:color="auto"/>
              <w:right w:val="single" w:sz="6" w:space="0" w:color="auto"/>
            </w:tcBorders>
            <w:shd w:val="clear" w:color="auto" w:fill="auto"/>
            <w:vAlign w:val="center"/>
            <w:hideMark/>
          </w:tcPr>
          <w:p w14:paraId="5A5C1063"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-0.001 </w:t>
            </w:r>
          </w:p>
        </w:tc>
        <w:tc>
          <w:tcPr>
            <w:tcW w:w="1110" w:type="dxa"/>
            <w:tcBorders>
              <w:top w:val="nil"/>
              <w:left w:val="nil"/>
              <w:bottom w:val="single" w:sz="6" w:space="0" w:color="auto"/>
              <w:right w:val="single" w:sz="6" w:space="0" w:color="auto"/>
            </w:tcBorders>
            <w:shd w:val="clear" w:color="auto" w:fill="D9D9D9"/>
            <w:vAlign w:val="center"/>
            <w:hideMark/>
          </w:tcPr>
          <w:p w14:paraId="18ED9097"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0.000 </w:t>
            </w:r>
          </w:p>
        </w:tc>
        <w:tc>
          <w:tcPr>
            <w:tcW w:w="1110" w:type="dxa"/>
            <w:tcBorders>
              <w:top w:val="nil"/>
              <w:left w:val="nil"/>
              <w:bottom w:val="single" w:sz="6" w:space="0" w:color="auto"/>
              <w:right w:val="single" w:sz="6" w:space="0" w:color="auto"/>
            </w:tcBorders>
            <w:shd w:val="clear" w:color="auto" w:fill="auto"/>
            <w:vAlign w:val="center"/>
            <w:hideMark/>
          </w:tcPr>
          <w:p w14:paraId="6CD0B689"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0.00% </w:t>
            </w:r>
          </w:p>
        </w:tc>
        <w:tc>
          <w:tcPr>
            <w:tcW w:w="1035" w:type="dxa"/>
            <w:tcBorders>
              <w:top w:val="nil"/>
              <w:left w:val="nil"/>
              <w:bottom w:val="single" w:sz="6" w:space="0" w:color="auto"/>
              <w:right w:val="single" w:sz="6" w:space="0" w:color="auto"/>
            </w:tcBorders>
            <w:shd w:val="clear" w:color="auto" w:fill="D9D9D9"/>
            <w:vAlign w:val="center"/>
            <w:hideMark/>
          </w:tcPr>
          <w:p w14:paraId="1DF7A321"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color w:val="auto"/>
                <w:sz w:val="20"/>
                <w:szCs w:val="20"/>
                <w:lang w:eastAsia="en-GB"/>
              </w:rPr>
              <w:t>0.000 </w:t>
            </w:r>
          </w:p>
        </w:tc>
      </w:tr>
      <w:tr w:rsidR="006E5B54" w14:paraId="42AACEB4"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0624DA68"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Exchequer Services</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4EDB83A6"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4.175 </w:t>
            </w:r>
          </w:p>
        </w:tc>
        <w:tc>
          <w:tcPr>
            <w:tcW w:w="1110" w:type="dxa"/>
            <w:tcBorders>
              <w:top w:val="nil"/>
              <w:left w:val="nil"/>
              <w:bottom w:val="single" w:sz="6" w:space="0" w:color="auto"/>
              <w:right w:val="single" w:sz="6" w:space="0" w:color="auto"/>
            </w:tcBorders>
            <w:shd w:val="clear" w:color="auto" w:fill="auto"/>
            <w:vAlign w:val="center"/>
            <w:hideMark/>
          </w:tcPr>
          <w:p w14:paraId="5656562A"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3.543 </w:t>
            </w:r>
          </w:p>
        </w:tc>
        <w:tc>
          <w:tcPr>
            <w:tcW w:w="1110" w:type="dxa"/>
            <w:tcBorders>
              <w:top w:val="nil"/>
              <w:left w:val="nil"/>
              <w:bottom w:val="single" w:sz="6" w:space="0" w:color="auto"/>
              <w:right w:val="single" w:sz="6" w:space="0" w:color="auto"/>
            </w:tcBorders>
            <w:shd w:val="clear" w:color="auto" w:fill="D9D9D9"/>
            <w:vAlign w:val="center"/>
            <w:hideMark/>
          </w:tcPr>
          <w:p w14:paraId="49346173"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-0.632 </w:t>
            </w:r>
          </w:p>
        </w:tc>
        <w:tc>
          <w:tcPr>
            <w:tcW w:w="1110" w:type="dxa"/>
            <w:tcBorders>
              <w:top w:val="nil"/>
              <w:left w:val="nil"/>
              <w:bottom w:val="single" w:sz="6" w:space="0" w:color="auto"/>
              <w:right w:val="single" w:sz="6" w:space="0" w:color="auto"/>
            </w:tcBorders>
            <w:shd w:val="clear" w:color="auto" w:fill="auto"/>
            <w:vAlign w:val="center"/>
            <w:hideMark/>
          </w:tcPr>
          <w:p w14:paraId="798B4A99"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-15.14% </w:t>
            </w:r>
          </w:p>
        </w:tc>
        <w:tc>
          <w:tcPr>
            <w:tcW w:w="1035" w:type="dxa"/>
            <w:tcBorders>
              <w:top w:val="nil"/>
              <w:left w:val="nil"/>
              <w:bottom w:val="single" w:sz="6" w:space="0" w:color="auto"/>
              <w:right w:val="single" w:sz="6" w:space="0" w:color="auto"/>
            </w:tcBorders>
            <w:shd w:val="clear" w:color="auto" w:fill="D9D9D9"/>
            <w:vAlign w:val="center"/>
            <w:hideMark/>
          </w:tcPr>
          <w:p w14:paraId="6FB9B6E8"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color w:val="auto"/>
                <w:sz w:val="20"/>
                <w:szCs w:val="20"/>
                <w:lang w:eastAsia="en-GB"/>
              </w:rPr>
              <w:t>-0.460 </w:t>
            </w:r>
          </w:p>
        </w:tc>
      </w:tr>
      <w:tr w:rsidR="006E5B54" w14:paraId="3AC37209"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2DC8A2F0"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Financial Mgt (Development and Schools)</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051F98F9"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0.014 </w:t>
            </w:r>
          </w:p>
        </w:tc>
        <w:tc>
          <w:tcPr>
            <w:tcW w:w="1110" w:type="dxa"/>
            <w:tcBorders>
              <w:top w:val="nil"/>
              <w:left w:val="nil"/>
              <w:bottom w:val="single" w:sz="6" w:space="0" w:color="auto"/>
              <w:right w:val="single" w:sz="6" w:space="0" w:color="auto"/>
            </w:tcBorders>
            <w:shd w:val="clear" w:color="auto" w:fill="auto"/>
            <w:vAlign w:val="center"/>
            <w:hideMark/>
          </w:tcPr>
          <w:p w14:paraId="283C3C62"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-0.120 </w:t>
            </w:r>
          </w:p>
        </w:tc>
        <w:tc>
          <w:tcPr>
            <w:tcW w:w="1110" w:type="dxa"/>
            <w:tcBorders>
              <w:top w:val="nil"/>
              <w:left w:val="nil"/>
              <w:bottom w:val="single" w:sz="6" w:space="0" w:color="auto"/>
              <w:right w:val="single" w:sz="6" w:space="0" w:color="auto"/>
            </w:tcBorders>
            <w:shd w:val="clear" w:color="auto" w:fill="D9D9D9"/>
            <w:vAlign w:val="center"/>
            <w:hideMark/>
          </w:tcPr>
          <w:p w14:paraId="29E550B9"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-0.134 </w:t>
            </w:r>
          </w:p>
        </w:tc>
        <w:tc>
          <w:tcPr>
            <w:tcW w:w="1110" w:type="dxa"/>
            <w:tcBorders>
              <w:top w:val="nil"/>
              <w:left w:val="nil"/>
              <w:bottom w:val="single" w:sz="6" w:space="0" w:color="auto"/>
              <w:right w:val="single" w:sz="6" w:space="0" w:color="auto"/>
            </w:tcBorders>
            <w:shd w:val="clear" w:color="auto" w:fill="auto"/>
            <w:vAlign w:val="center"/>
            <w:hideMark/>
          </w:tcPr>
          <w:p w14:paraId="5D5689DE"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-957.14% </w:t>
            </w:r>
          </w:p>
        </w:tc>
        <w:tc>
          <w:tcPr>
            <w:tcW w:w="1035" w:type="dxa"/>
            <w:tcBorders>
              <w:top w:val="nil"/>
              <w:left w:val="nil"/>
              <w:bottom w:val="single" w:sz="6" w:space="0" w:color="auto"/>
              <w:right w:val="single" w:sz="6" w:space="0" w:color="auto"/>
            </w:tcBorders>
            <w:shd w:val="clear" w:color="auto" w:fill="D9D9D9"/>
            <w:vAlign w:val="center"/>
            <w:hideMark/>
          </w:tcPr>
          <w:p w14:paraId="5BF4007C"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color w:val="auto"/>
                <w:sz w:val="20"/>
                <w:szCs w:val="20"/>
                <w:lang w:eastAsia="en-GB"/>
              </w:rPr>
              <w:t>-0.123 </w:t>
            </w:r>
          </w:p>
        </w:tc>
      </w:tr>
      <w:tr w:rsidR="006E5B54" w14:paraId="1EE3892B"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76FA86B4"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Financial Mgt (Operational)</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040E9384"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1.716 </w:t>
            </w:r>
          </w:p>
        </w:tc>
        <w:tc>
          <w:tcPr>
            <w:tcW w:w="1110" w:type="dxa"/>
            <w:tcBorders>
              <w:top w:val="nil"/>
              <w:left w:val="nil"/>
              <w:bottom w:val="single" w:sz="6" w:space="0" w:color="auto"/>
              <w:right w:val="single" w:sz="6" w:space="0" w:color="auto"/>
            </w:tcBorders>
            <w:shd w:val="clear" w:color="auto" w:fill="auto"/>
            <w:vAlign w:val="center"/>
            <w:hideMark/>
          </w:tcPr>
          <w:p w14:paraId="3E3DE6A0"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1.567 </w:t>
            </w:r>
          </w:p>
        </w:tc>
        <w:tc>
          <w:tcPr>
            <w:tcW w:w="1110" w:type="dxa"/>
            <w:tcBorders>
              <w:top w:val="nil"/>
              <w:left w:val="nil"/>
              <w:bottom w:val="single" w:sz="6" w:space="0" w:color="auto"/>
              <w:right w:val="single" w:sz="6" w:space="0" w:color="auto"/>
            </w:tcBorders>
            <w:shd w:val="clear" w:color="auto" w:fill="D9D9D9"/>
            <w:vAlign w:val="center"/>
            <w:hideMark/>
          </w:tcPr>
          <w:p w14:paraId="67C56063"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-0.149 </w:t>
            </w:r>
          </w:p>
        </w:tc>
        <w:tc>
          <w:tcPr>
            <w:tcW w:w="1110" w:type="dxa"/>
            <w:tcBorders>
              <w:top w:val="nil"/>
              <w:left w:val="nil"/>
              <w:bottom w:val="single" w:sz="6" w:space="0" w:color="auto"/>
              <w:right w:val="single" w:sz="6" w:space="0" w:color="auto"/>
            </w:tcBorders>
            <w:shd w:val="clear" w:color="auto" w:fill="auto"/>
            <w:vAlign w:val="center"/>
            <w:hideMark/>
          </w:tcPr>
          <w:p w14:paraId="1A0FB51F"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-8.68% </w:t>
            </w:r>
          </w:p>
        </w:tc>
        <w:tc>
          <w:tcPr>
            <w:tcW w:w="1035" w:type="dxa"/>
            <w:tcBorders>
              <w:top w:val="nil"/>
              <w:left w:val="nil"/>
              <w:bottom w:val="single" w:sz="6" w:space="0" w:color="auto"/>
              <w:right w:val="single" w:sz="6" w:space="0" w:color="auto"/>
            </w:tcBorders>
            <w:shd w:val="clear" w:color="auto" w:fill="D9D9D9"/>
            <w:vAlign w:val="center"/>
            <w:hideMark/>
          </w:tcPr>
          <w:p w14:paraId="67A4231A"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color w:val="auto"/>
                <w:sz w:val="20"/>
                <w:szCs w:val="20"/>
                <w:lang w:eastAsia="en-GB"/>
              </w:rPr>
              <w:t>0.088 </w:t>
            </w:r>
          </w:p>
        </w:tc>
      </w:tr>
      <w:tr w:rsidR="006E5B54" w14:paraId="4D07A104"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1A11FF9B"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Corporate Finance</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3F878DA3"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8.325 </w:t>
            </w:r>
          </w:p>
        </w:tc>
        <w:tc>
          <w:tcPr>
            <w:tcW w:w="1110" w:type="dxa"/>
            <w:tcBorders>
              <w:top w:val="nil"/>
              <w:left w:val="nil"/>
              <w:bottom w:val="single" w:sz="6" w:space="0" w:color="auto"/>
              <w:right w:val="single" w:sz="6" w:space="0" w:color="auto"/>
            </w:tcBorders>
            <w:shd w:val="clear" w:color="auto" w:fill="auto"/>
            <w:vAlign w:val="center"/>
            <w:hideMark/>
          </w:tcPr>
          <w:p w14:paraId="4E51861F"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8.276 </w:t>
            </w:r>
          </w:p>
        </w:tc>
        <w:tc>
          <w:tcPr>
            <w:tcW w:w="1110" w:type="dxa"/>
            <w:tcBorders>
              <w:top w:val="nil"/>
              <w:left w:val="nil"/>
              <w:bottom w:val="single" w:sz="6" w:space="0" w:color="auto"/>
              <w:right w:val="single" w:sz="6" w:space="0" w:color="auto"/>
            </w:tcBorders>
            <w:shd w:val="clear" w:color="auto" w:fill="D9D9D9"/>
            <w:vAlign w:val="center"/>
            <w:hideMark/>
          </w:tcPr>
          <w:p w14:paraId="28934049"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-0.049 </w:t>
            </w:r>
          </w:p>
        </w:tc>
        <w:tc>
          <w:tcPr>
            <w:tcW w:w="1110" w:type="dxa"/>
            <w:tcBorders>
              <w:top w:val="nil"/>
              <w:left w:val="nil"/>
              <w:bottom w:val="single" w:sz="6" w:space="0" w:color="auto"/>
              <w:right w:val="single" w:sz="6" w:space="0" w:color="auto"/>
            </w:tcBorders>
            <w:shd w:val="clear" w:color="auto" w:fill="auto"/>
            <w:vAlign w:val="center"/>
            <w:hideMark/>
          </w:tcPr>
          <w:p w14:paraId="3415EF03"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-0.59% </w:t>
            </w:r>
          </w:p>
        </w:tc>
        <w:tc>
          <w:tcPr>
            <w:tcW w:w="1035" w:type="dxa"/>
            <w:tcBorders>
              <w:top w:val="nil"/>
              <w:left w:val="nil"/>
              <w:bottom w:val="single" w:sz="6" w:space="0" w:color="auto"/>
              <w:right w:val="single" w:sz="6" w:space="0" w:color="auto"/>
            </w:tcBorders>
            <w:shd w:val="clear" w:color="auto" w:fill="D9D9D9"/>
            <w:vAlign w:val="center"/>
            <w:hideMark/>
          </w:tcPr>
          <w:p w14:paraId="487F0C4C"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color w:val="auto"/>
                <w:sz w:val="20"/>
                <w:szCs w:val="20"/>
                <w:lang w:eastAsia="en-GB"/>
              </w:rPr>
              <w:t>-0.191 </w:t>
            </w:r>
          </w:p>
        </w:tc>
      </w:tr>
      <w:tr w:rsidR="006E5B54" w14:paraId="45997A13"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38B8F563"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Internal Audit</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2AAAB620"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0.794 </w:t>
            </w:r>
          </w:p>
        </w:tc>
        <w:tc>
          <w:tcPr>
            <w:tcW w:w="1110" w:type="dxa"/>
            <w:tcBorders>
              <w:top w:val="nil"/>
              <w:left w:val="nil"/>
              <w:bottom w:val="single" w:sz="6" w:space="0" w:color="auto"/>
              <w:right w:val="single" w:sz="6" w:space="0" w:color="auto"/>
            </w:tcBorders>
            <w:shd w:val="clear" w:color="auto" w:fill="auto"/>
            <w:vAlign w:val="center"/>
            <w:hideMark/>
          </w:tcPr>
          <w:p w14:paraId="7219B753"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0.829 </w:t>
            </w:r>
          </w:p>
        </w:tc>
        <w:tc>
          <w:tcPr>
            <w:tcW w:w="1110" w:type="dxa"/>
            <w:tcBorders>
              <w:top w:val="nil"/>
              <w:left w:val="nil"/>
              <w:bottom w:val="single" w:sz="6" w:space="0" w:color="auto"/>
              <w:right w:val="single" w:sz="6" w:space="0" w:color="auto"/>
            </w:tcBorders>
            <w:shd w:val="clear" w:color="auto" w:fill="D9D9D9"/>
            <w:vAlign w:val="center"/>
            <w:hideMark/>
          </w:tcPr>
          <w:p w14:paraId="5F9AD2DA"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0.035 </w:t>
            </w:r>
          </w:p>
        </w:tc>
        <w:tc>
          <w:tcPr>
            <w:tcW w:w="1110" w:type="dxa"/>
            <w:tcBorders>
              <w:top w:val="nil"/>
              <w:left w:val="nil"/>
              <w:bottom w:val="single" w:sz="6" w:space="0" w:color="auto"/>
              <w:right w:val="single" w:sz="6" w:space="0" w:color="auto"/>
            </w:tcBorders>
            <w:shd w:val="clear" w:color="auto" w:fill="auto"/>
            <w:vAlign w:val="center"/>
            <w:hideMark/>
          </w:tcPr>
          <w:p w14:paraId="5197DE05"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4.41% </w:t>
            </w:r>
          </w:p>
        </w:tc>
        <w:tc>
          <w:tcPr>
            <w:tcW w:w="1035" w:type="dxa"/>
            <w:tcBorders>
              <w:top w:val="nil"/>
              <w:left w:val="nil"/>
              <w:bottom w:val="single" w:sz="6" w:space="0" w:color="auto"/>
              <w:right w:val="single" w:sz="6" w:space="0" w:color="auto"/>
            </w:tcBorders>
            <w:shd w:val="clear" w:color="auto" w:fill="D9D9D9"/>
            <w:vAlign w:val="center"/>
            <w:hideMark/>
          </w:tcPr>
          <w:p w14:paraId="4A2D4413"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color w:val="auto"/>
                <w:sz w:val="20"/>
                <w:szCs w:val="20"/>
                <w:lang w:eastAsia="en-GB"/>
              </w:rPr>
              <w:t>0.018 </w:t>
            </w:r>
          </w:p>
        </w:tc>
      </w:tr>
      <w:tr w:rsidR="006E5B54" w14:paraId="474CED0B"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2BECF755"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Payroll</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3CD935D8"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0.866 </w:t>
            </w:r>
          </w:p>
        </w:tc>
        <w:tc>
          <w:tcPr>
            <w:tcW w:w="1110" w:type="dxa"/>
            <w:tcBorders>
              <w:top w:val="nil"/>
              <w:left w:val="nil"/>
              <w:bottom w:val="single" w:sz="6" w:space="0" w:color="auto"/>
              <w:right w:val="single" w:sz="6" w:space="0" w:color="auto"/>
            </w:tcBorders>
            <w:shd w:val="clear" w:color="auto" w:fill="auto"/>
            <w:vAlign w:val="center"/>
            <w:hideMark/>
          </w:tcPr>
          <w:p w14:paraId="73F3819F"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0.677 </w:t>
            </w:r>
          </w:p>
        </w:tc>
        <w:tc>
          <w:tcPr>
            <w:tcW w:w="1110" w:type="dxa"/>
            <w:tcBorders>
              <w:top w:val="nil"/>
              <w:left w:val="nil"/>
              <w:bottom w:val="single" w:sz="6" w:space="0" w:color="auto"/>
              <w:right w:val="single" w:sz="6" w:space="0" w:color="auto"/>
            </w:tcBorders>
            <w:shd w:val="clear" w:color="auto" w:fill="D9D9D9"/>
            <w:vAlign w:val="center"/>
            <w:hideMark/>
          </w:tcPr>
          <w:p w14:paraId="5FC0AF04"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-0.189 </w:t>
            </w:r>
          </w:p>
        </w:tc>
        <w:tc>
          <w:tcPr>
            <w:tcW w:w="1110" w:type="dxa"/>
            <w:tcBorders>
              <w:top w:val="nil"/>
              <w:left w:val="nil"/>
              <w:bottom w:val="single" w:sz="6" w:space="0" w:color="auto"/>
              <w:right w:val="single" w:sz="6" w:space="0" w:color="auto"/>
            </w:tcBorders>
            <w:shd w:val="clear" w:color="auto" w:fill="auto"/>
            <w:vAlign w:val="center"/>
            <w:hideMark/>
          </w:tcPr>
          <w:p w14:paraId="7E0708D6"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-21.82% </w:t>
            </w:r>
          </w:p>
        </w:tc>
        <w:tc>
          <w:tcPr>
            <w:tcW w:w="1035" w:type="dxa"/>
            <w:tcBorders>
              <w:top w:val="nil"/>
              <w:left w:val="nil"/>
              <w:bottom w:val="single" w:sz="6" w:space="0" w:color="auto"/>
              <w:right w:val="single" w:sz="6" w:space="0" w:color="auto"/>
            </w:tcBorders>
            <w:shd w:val="clear" w:color="auto" w:fill="D9D9D9"/>
            <w:vAlign w:val="center"/>
            <w:hideMark/>
          </w:tcPr>
          <w:p w14:paraId="6EEAF885"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color w:val="auto"/>
                <w:sz w:val="20"/>
                <w:szCs w:val="20"/>
                <w:lang w:eastAsia="en-GB"/>
              </w:rPr>
              <w:t>-0.122 </w:t>
            </w:r>
          </w:p>
        </w:tc>
      </w:tr>
      <w:tr w:rsidR="006E5B54" w14:paraId="5F49865A"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6D2E9A08"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Procurement</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2FD81959"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2.132 </w:t>
            </w:r>
          </w:p>
        </w:tc>
        <w:tc>
          <w:tcPr>
            <w:tcW w:w="1110" w:type="dxa"/>
            <w:tcBorders>
              <w:top w:val="nil"/>
              <w:left w:val="nil"/>
              <w:bottom w:val="single" w:sz="6" w:space="0" w:color="auto"/>
              <w:right w:val="single" w:sz="6" w:space="0" w:color="auto"/>
            </w:tcBorders>
            <w:shd w:val="clear" w:color="auto" w:fill="auto"/>
            <w:vAlign w:val="center"/>
            <w:hideMark/>
          </w:tcPr>
          <w:p w14:paraId="1051294D"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2.052 </w:t>
            </w:r>
          </w:p>
        </w:tc>
        <w:tc>
          <w:tcPr>
            <w:tcW w:w="1110" w:type="dxa"/>
            <w:tcBorders>
              <w:top w:val="nil"/>
              <w:left w:val="nil"/>
              <w:bottom w:val="single" w:sz="6" w:space="0" w:color="auto"/>
              <w:right w:val="single" w:sz="6" w:space="0" w:color="auto"/>
            </w:tcBorders>
            <w:shd w:val="clear" w:color="auto" w:fill="D9D9D9"/>
            <w:vAlign w:val="center"/>
            <w:hideMark/>
          </w:tcPr>
          <w:p w14:paraId="14AA2AC5"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-0.080 </w:t>
            </w:r>
          </w:p>
        </w:tc>
        <w:tc>
          <w:tcPr>
            <w:tcW w:w="1110" w:type="dxa"/>
            <w:tcBorders>
              <w:top w:val="nil"/>
              <w:left w:val="nil"/>
              <w:bottom w:val="single" w:sz="6" w:space="0" w:color="auto"/>
              <w:right w:val="single" w:sz="6" w:space="0" w:color="auto"/>
            </w:tcBorders>
            <w:shd w:val="clear" w:color="auto" w:fill="auto"/>
            <w:vAlign w:val="center"/>
            <w:hideMark/>
          </w:tcPr>
          <w:p w14:paraId="5F377918"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-3.75% </w:t>
            </w:r>
          </w:p>
        </w:tc>
        <w:tc>
          <w:tcPr>
            <w:tcW w:w="1035" w:type="dxa"/>
            <w:tcBorders>
              <w:top w:val="nil"/>
              <w:left w:val="nil"/>
              <w:bottom w:val="single" w:sz="6" w:space="0" w:color="auto"/>
              <w:right w:val="single" w:sz="6" w:space="0" w:color="auto"/>
            </w:tcBorders>
            <w:shd w:val="clear" w:color="auto" w:fill="D9D9D9"/>
            <w:vAlign w:val="center"/>
            <w:hideMark/>
          </w:tcPr>
          <w:p w14:paraId="6E2D6A07"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color w:val="auto"/>
                <w:sz w:val="20"/>
                <w:szCs w:val="20"/>
                <w:lang w:eastAsia="en-GB"/>
              </w:rPr>
              <w:t>0.077 </w:t>
            </w:r>
          </w:p>
        </w:tc>
      </w:tr>
      <w:tr w:rsidR="006E5B54" w14:paraId="7C0B3D1D"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22B4159F"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BTLS</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71AE2FF4"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0.000 </w:t>
            </w:r>
          </w:p>
        </w:tc>
        <w:tc>
          <w:tcPr>
            <w:tcW w:w="1110" w:type="dxa"/>
            <w:tcBorders>
              <w:top w:val="nil"/>
              <w:left w:val="nil"/>
              <w:bottom w:val="single" w:sz="6" w:space="0" w:color="auto"/>
              <w:right w:val="single" w:sz="6" w:space="0" w:color="auto"/>
            </w:tcBorders>
            <w:shd w:val="clear" w:color="auto" w:fill="auto"/>
            <w:vAlign w:val="center"/>
            <w:hideMark/>
          </w:tcPr>
          <w:p w14:paraId="42729083"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0.035 </w:t>
            </w:r>
          </w:p>
        </w:tc>
        <w:tc>
          <w:tcPr>
            <w:tcW w:w="1110" w:type="dxa"/>
            <w:tcBorders>
              <w:top w:val="nil"/>
              <w:left w:val="nil"/>
              <w:bottom w:val="single" w:sz="6" w:space="0" w:color="auto"/>
              <w:right w:val="single" w:sz="6" w:space="0" w:color="auto"/>
            </w:tcBorders>
            <w:shd w:val="clear" w:color="auto" w:fill="D9D9D9"/>
            <w:vAlign w:val="center"/>
            <w:hideMark/>
          </w:tcPr>
          <w:p w14:paraId="401EC895"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0.035 </w:t>
            </w:r>
          </w:p>
        </w:tc>
        <w:tc>
          <w:tcPr>
            <w:tcW w:w="1110" w:type="dxa"/>
            <w:tcBorders>
              <w:top w:val="nil"/>
              <w:left w:val="nil"/>
              <w:bottom w:val="single" w:sz="6" w:space="0" w:color="auto"/>
              <w:right w:val="single" w:sz="6" w:space="0" w:color="auto"/>
            </w:tcBorders>
            <w:shd w:val="clear" w:color="auto" w:fill="auto"/>
            <w:vAlign w:val="center"/>
            <w:hideMark/>
          </w:tcPr>
          <w:p w14:paraId="7801D18B" w14:textId="77777777" w:rsidR="00DC5E60" w:rsidRPr="004E6C9C"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4E6C9C">
              <w:rPr>
                <w:rFonts w:eastAsia="Times New Roman" w:cs="Arial"/>
                <w:sz w:val="20"/>
                <w:szCs w:val="20"/>
                <w:lang w:eastAsia="en-GB"/>
              </w:rPr>
              <w:t>0% </w:t>
            </w:r>
          </w:p>
        </w:tc>
        <w:tc>
          <w:tcPr>
            <w:tcW w:w="1035" w:type="dxa"/>
            <w:tcBorders>
              <w:top w:val="nil"/>
              <w:left w:val="nil"/>
              <w:bottom w:val="single" w:sz="6" w:space="0" w:color="auto"/>
              <w:right w:val="single" w:sz="6" w:space="0" w:color="auto"/>
            </w:tcBorders>
            <w:shd w:val="clear" w:color="auto" w:fill="D9D9D9"/>
            <w:vAlign w:val="center"/>
            <w:hideMark/>
          </w:tcPr>
          <w:p w14:paraId="78D0C465" w14:textId="77777777" w:rsidR="00DC5E60" w:rsidRPr="004E6C9C"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4E6C9C">
              <w:rPr>
                <w:rFonts w:eastAsia="Times New Roman" w:cs="Arial"/>
                <w:color w:val="auto"/>
                <w:sz w:val="20"/>
                <w:szCs w:val="20"/>
                <w:lang w:eastAsia="en-GB"/>
              </w:rPr>
              <w:t>0.000 </w:t>
            </w:r>
          </w:p>
        </w:tc>
      </w:tr>
      <w:tr w:rsidR="006E5B54" w14:paraId="7AE00897"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56348D6D"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Total</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39226D3C"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18.021</w:t>
            </w:r>
            <w:r w:rsidRPr="00DC5E60">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78C55A14"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16.858</w:t>
            </w:r>
            <w:r w:rsidRPr="00DC5E60">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461DB5D0"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-1.163</w:t>
            </w:r>
            <w:r w:rsidRPr="00DC5E60">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7CD4D2D6"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-6.45%</w:t>
            </w:r>
            <w:r w:rsidRPr="00DC5E60">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0BA959A0"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b/>
                <w:bCs/>
                <w:color w:val="auto"/>
                <w:sz w:val="20"/>
                <w:szCs w:val="20"/>
                <w:lang w:eastAsia="en-GB"/>
              </w:rPr>
              <w:t>-0.713</w:t>
            </w:r>
            <w:r w:rsidRPr="00DC5E60">
              <w:rPr>
                <w:rFonts w:eastAsia="Times New Roman" w:cs="Arial"/>
                <w:color w:val="auto"/>
                <w:sz w:val="20"/>
                <w:szCs w:val="20"/>
                <w:lang w:eastAsia="en-GB"/>
              </w:rPr>
              <w:t> </w:t>
            </w:r>
          </w:p>
        </w:tc>
      </w:tr>
      <w:tr w:rsidR="006E5B54" w14:paraId="12715112" w14:textId="77777777" w:rsidTr="005B50B4">
        <w:trPr>
          <w:trHeight w:val="435"/>
        </w:trPr>
        <w:tc>
          <w:tcPr>
            <w:tcW w:w="3600"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7FB69544"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 xml:space="preserve">Share of unallocated </w:t>
            </w:r>
            <w:r w:rsidR="0026517A">
              <w:rPr>
                <w:rFonts w:eastAsia="Times New Roman" w:cs="Arial"/>
                <w:b/>
                <w:bCs/>
                <w:sz w:val="20"/>
                <w:szCs w:val="20"/>
                <w:lang w:eastAsia="en-GB"/>
              </w:rPr>
              <w:t>C</w:t>
            </w:r>
            <w:r w:rsidR="00626DB7">
              <w:rPr>
                <w:rFonts w:eastAsia="Times New Roman" w:cs="Arial"/>
                <w:b/>
                <w:bCs/>
                <w:sz w:val="20"/>
                <w:szCs w:val="20"/>
                <w:lang w:eastAsia="en-GB"/>
              </w:rPr>
              <w:t>o</w:t>
            </w:r>
            <w:r w:rsidR="00626DB7">
              <w:rPr>
                <w:rFonts w:eastAsia="Times New Roman"/>
                <w:b/>
                <w:bCs/>
                <w:sz w:val="20"/>
                <w:szCs w:val="20"/>
                <w:lang w:eastAsia="en-GB"/>
              </w:rPr>
              <w:t>vid</w:t>
            </w:r>
            <w:r w:rsidRPr="00DC5E60">
              <w:rPr>
                <w:rFonts w:eastAsia="Times New Roman" w:cs="Arial"/>
                <w:b/>
                <w:bCs/>
                <w:sz w:val="20"/>
                <w:szCs w:val="20"/>
                <w:lang w:eastAsia="en-GB"/>
              </w:rPr>
              <w:t>-19 emergency monies</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1A896132"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0.032 </w:t>
            </w:r>
          </w:p>
        </w:tc>
        <w:tc>
          <w:tcPr>
            <w:tcW w:w="1110" w:type="dxa"/>
            <w:tcBorders>
              <w:top w:val="nil"/>
              <w:left w:val="nil"/>
              <w:bottom w:val="single" w:sz="6" w:space="0" w:color="auto"/>
              <w:right w:val="single" w:sz="6" w:space="0" w:color="auto"/>
            </w:tcBorders>
            <w:shd w:val="clear" w:color="auto" w:fill="auto"/>
            <w:vAlign w:val="center"/>
            <w:hideMark/>
          </w:tcPr>
          <w:p w14:paraId="236268A6"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0.000 </w:t>
            </w:r>
          </w:p>
        </w:tc>
        <w:tc>
          <w:tcPr>
            <w:tcW w:w="1110" w:type="dxa"/>
            <w:tcBorders>
              <w:top w:val="nil"/>
              <w:left w:val="nil"/>
              <w:bottom w:val="single" w:sz="6" w:space="0" w:color="auto"/>
              <w:right w:val="single" w:sz="6" w:space="0" w:color="auto"/>
            </w:tcBorders>
            <w:shd w:val="clear" w:color="auto" w:fill="D9D9D9"/>
            <w:vAlign w:val="center"/>
            <w:hideMark/>
          </w:tcPr>
          <w:p w14:paraId="11556599"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-0.032 </w:t>
            </w:r>
          </w:p>
        </w:tc>
        <w:tc>
          <w:tcPr>
            <w:tcW w:w="1110" w:type="dxa"/>
            <w:tcBorders>
              <w:top w:val="nil"/>
              <w:left w:val="nil"/>
              <w:bottom w:val="single" w:sz="6" w:space="0" w:color="auto"/>
              <w:right w:val="single" w:sz="6" w:space="0" w:color="auto"/>
            </w:tcBorders>
            <w:shd w:val="clear" w:color="auto" w:fill="auto"/>
            <w:vAlign w:val="center"/>
            <w:hideMark/>
          </w:tcPr>
          <w:p w14:paraId="14276864"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46DC7495"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color w:val="auto"/>
                <w:sz w:val="20"/>
                <w:szCs w:val="20"/>
                <w:lang w:eastAsia="en-GB"/>
              </w:rPr>
              <w:t>-0.032 </w:t>
            </w:r>
          </w:p>
        </w:tc>
      </w:tr>
      <w:tr w:rsidR="006E5B54" w14:paraId="04D1137E" w14:textId="77777777" w:rsidTr="00DC5E60">
        <w:trPr>
          <w:trHeight w:val="225"/>
        </w:trPr>
        <w:tc>
          <w:tcPr>
            <w:tcW w:w="3600" w:type="dxa"/>
            <w:tcBorders>
              <w:top w:val="nil"/>
              <w:left w:val="single" w:sz="6" w:space="0" w:color="auto"/>
              <w:bottom w:val="single" w:sz="6" w:space="0" w:color="auto"/>
              <w:right w:val="single" w:sz="6" w:space="0" w:color="auto"/>
            </w:tcBorders>
            <w:shd w:val="clear" w:color="auto" w:fill="D9D9D9"/>
            <w:vAlign w:val="center"/>
            <w:hideMark/>
          </w:tcPr>
          <w:p w14:paraId="203FEA52" w14:textId="77777777" w:rsidR="00DC5E60" w:rsidRPr="00DC5E60" w:rsidRDefault="00162F2E" w:rsidP="00DC5E60">
            <w:pPr>
              <w:autoSpaceDE/>
              <w:autoSpaceDN/>
              <w:adjustRightInd/>
              <w:spacing w:after="0"/>
              <w:jc w:val="lef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Total Finance</w:t>
            </w:r>
            <w:r w:rsidRPr="00DC5E60">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4F0D09E7"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18.053</w:t>
            </w:r>
            <w:r w:rsidRPr="00DC5E60">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4241D303"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16.858</w:t>
            </w:r>
            <w:r w:rsidRPr="00DC5E60">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7248E9BC"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-1.195</w:t>
            </w:r>
            <w:r w:rsidRPr="00DC5E60">
              <w:rPr>
                <w:rFonts w:eastAsia="Times New Roman" w:cs="Arial"/>
                <w:sz w:val="20"/>
                <w:szCs w:val="20"/>
                <w:lang w:eastAsia="en-GB"/>
              </w:rPr>
              <w:t> </w:t>
            </w:r>
          </w:p>
        </w:tc>
        <w:tc>
          <w:tcPr>
            <w:tcW w:w="1110" w:type="dxa"/>
            <w:tcBorders>
              <w:top w:val="nil"/>
              <w:left w:val="nil"/>
              <w:bottom w:val="single" w:sz="6" w:space="0" w:color="auto"/>
              <w:right w:val="single" w:sz="6" w:space="0" w:color="auto"/>
            </w:tcBorders>
            <w:shd w:val="clear" w:color="auto" w:fill="D9D9D9"/>
            <w:vAlign w:val="center"/>
            <w:hideMark/>
          </w:tcPr>
          <w:p w14:paraId="723BD4B8"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b/>
                <w:bCs/>
                <w:sz w:val="20"/>
                <w:szCs w:val="20"/>
                <w:lang w:eastAsia="en-GB"/>
              </w:rPr>
              <w:t>-6.62%</w:t>
            </w:r>
            <w:r w:rsidRPr="00DC5E60">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7C5C87C2" w14:textId="77777777" w:rsidR="00DC5E60" w:rsidRPr="00DC5E60" w:rsidRDefault="00162F2E" w:rsidP="00DC5E60">
            <w:pPr>
              <w:autoSpaceDE/>
              <w:autoSpaceDN/>
              <w:adjustRightInd/>
              <w:spacing w:after="0"/>
              <w:jc w:val="right"/>
              <w:textAlignment w:val="baseline"/>
              <w:rPr>
                <w:rFonts w:ascii="Times New Roman" w:eastAsia="Times New Roman" w:hAnsi="Times New Roman" w:cs="Times New Roman"/>
                <w:color w:val="auto"/>
                <w:lang w:eastAsia="en-GB"/>
              </w:rPr>
            </w:pPr>
            <w:r w:rsidRPr="00DC5E60">
              <w:rPr>
                <w:rFonts w:eastAsia="Times New Roman" w:cs="Arial"/>
                <w:b/>
                <w:bCs/>
                <w:color w:val="auto"/>
                <w:sz w:val="20"/>
                <w:szCs w:val="20"/>
                <w:lang w:eastAsia="en-GB"/>
              </w:rPr>
              <w:t>-0.745</w:t>
            </w:r>
            <w:r w:rsidRPr="00DC5E60">
              <w:rPr>
                <w:rFonts w:eastAsia="Times New Roman" w:cs="Arial"/>
                <w:color w:val="auto"/>
                <w:sz w:val="20"/>
                <w:szCs w:val="20"/>
                <w:lang w:eastAsia="en-GB"/>
              </w:rPr>
              <w:t> </w:t>
            </w:r>
          </w:p>
        </w:tc>
      </w:tr>
    </w:tbl>
    <w:p w14:paraId="63E57F8B" w14:textId="0A533DDB" w:rsidR="00DC5E60" w:rsidRDefault="00162F2E" w:rsidP="00DC5E60">
      <w:pPr>
        <w:autoSpaceDE/>
        <w:autoSpaceDN/>
        <w:adjustRightInd/>
        <w:spacing w:after="0"/>
        <w:textAlignment w:val="baseline"/>
        <w:rPr>
          <w:rFonts w:eastAsia="Times New Roman" w:cs="Arial"/>
          <w:color w:val="FF0000"/>
          <w:lang w:eastAsia="en-GB"/>
        </w:rPr>
      </w:pPr>
      <w:r w:rsidRPr="00DC5E60">
        <w:rPr>
          <w:rFonts w:eastAsia="Times New Roman" w:cs="Arial"/>
          <w:color w:val="FF0000"/>
          <w:lang w:eastAsia="en-GB"/>
        </w:rPr>
        <w:t> </w:t>
      </w:r>
    </w:p>
    <w:p w14:paraId="3678B65A" w14:textId="77777777" w:rsidR="00642D26" w:rsidRPr="00DC5E60" w:rsidRDefault="00642D26" w:rsidP="00DC5E60">
      <w:pPr>
        <w:autoSpaceDE/>
        <w:autoSpaceDN/>
        <w:adjustRightInd/>
        <w:spacing w:after="0"/>
        <w:textAlignment w:val="baseline"/>
        <w:rPr>
          <w:rFonts w:ascii="Segoe UI" w:eastAsia="Times New Roman" w:hAnsi="Segoe UI" w:cs="Segoe UI"/>
          <w:color w:val="auto"/>
          <w:sz w:val="18"/>
          <w:szCs w:val="18"/>
          <w:lang w:eastAsia="en-GB"/>
        </w:rPr>
      </w:pPr>
    </w:p>
    <w:p w14:paraId="765AEF3A"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b/>
          <w:bCs/>
          <w:color w:val="auto"/>
          <w:lang w:eastAsia="en-GB"/>
        </w:rPr>
        <w:lastRenderedPageBreak/>
        <w:t>Overview</w:t>
      </w:r>
      <w:r w:rsidRPr="00DC5E60">
        <w:rPr>
          <w:rFonts w:eastAsia="Times New Roman" w:cs="Arial"/>
          <w:color w:val="auto"/>
          <w:lang w:eastAsia="en-GB"/>
        </w:rPr>
        <w:t> </w:t>
      </w:r>
    </w:p>
    <w:p w14:paraId="19988E51"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 </w:t>
      </w:r>
    </w:p>
    <w:p w14:paraId="0C9871DA"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 xml:space="preserve">The total approved net budget for Finance in 2021/22 is £18.053m, including an allocation of £32,000 for </w:t>
      </w:r>
      <w:r w:rsidR="0026517A">
        <w:rPr>
          <w:rFonts w:eastAsia="Times New Roman" w:cs="Arial"/>
          <w:color w:val="auto"/>
          <w:lang w:eastAsia="en-GB"/>
        </w:rPr>
        <w:t>C</w:t>
      </w:r>
      <w:r w:rsidR="00626DB7">
        <w:rPr>
          <w:rFonts w:eastAsia="Times New Roman" w:cs="Arial"/>
          <w:color w:val="auto"/>
          <w:lang w:eastAsia="en-GB"/>
        </w:rPr>
        <w:t>ovid</w:t>
      </w:r>
      <w:r w:rsidRPr="00DC5E60">
        <w:rPr>
          <w:rFonts w:eastAsia="Times New Roman" w:cs="Arial"/>
          <w:color w:val="auto"/>
          <w:lang w:eastAsia="en-GB"/>
        </w:rPr>
        <w:t xml:space="preserve">-19 for the first 3 months of 2021/22. The outturn position </w:t>
      </w:r>
      <w:r w:rsidR="00A90EB9">
        <w:rPr>
          <w:rFonts w:eastAsia="Times New Roman" w:cs="Arial"/>
          <w:color w:val="auto"/>
          <w:lang w:eastAsia="en-GB"/>
        </w:rPr>
        <w:t xml:space="preserve">is an </w:t>
      </w:r>
      <w:r w:rsidRPr="00DC5E60">
        <w:rPr>
          <w:rFonts w:eastAsia="Times New Roman" w:cs="Arial"/>
          <w:color w:val="auto"/>
          <w:lang w:eastAsia="en-GB"/>
        </w:rPr>
        <w:t>underspend of £1.195m.  </w:t>
      </w:r>
      <w:r w:rsidR="00A90EB9">
        <w:rPr>
          <w:rFonts w:eastAsia="Times New Roman" w:cs="Arial"/>
          <w:color w:val="auto"/>
          <w:lang w:eastAsia="en-GB"/>
        </w:rPr>
        <w:t xml:space="preserve">The most significant variances are detailed </w:t>
      </w:r>
      <w:r w:rsidR="00626DB7">
        <w:rPr>
          <w:rFonts w:eastAsia="Times New Roman" w:cs="Arial"/>
          <w:color w:val="auto"/>
          <w:lang w:eastAsia="en-GB"/>
        </w:rPr>
        <w:t>below: -</w:t>
      </w:r>
    </w:p>
    <w:p w14:paraId="243D6502" w14:textId="77777777" w:rsidR="00642D26"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FF0000"/>
          <w:lang w:eastAsia="en-GB"/>
        </w:rPr>
        <w:t> </w:t>
      </w:r>
    </w:p>
    <w:p w14:paraId="7368E607" w14:textId="7A017048"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b/>
          <w:bCs/>
          <w:color w:val="auto"/>
          <w:lang w:eastAsia="en-GB"/>
        </w:rPr>
        <w:t>Exchequer Services – underspend of £</w:t>
      </w:r>
      <w:r w:rsidR="00E776C5">
        <w:rPr>
          <w:rFonts w:eastAsia="Times New Roman" w:cs="Arial"/>
          <w:b/>
          <w:bCs/>
          <w:color w:val="auto"/>
          <w:lang w:eastAsia="en-GB"/>
        </w:rPr>
        <w:t>632,000</w:t>
      </w:r>
      <w:r w:rsidRPr="00DC5E60">
        <w:rPr>
          <w:rFonts w:eastAsia="Times New Roman" w:cs="Arial"/>
          <w:color w:val="auto"/>
          <w:lang w:eastAsia="en-GB"/>
        </w:rPr>
        <w:t> </w:t>
      </w:r>
    </w:p>
    <w:p w14:paraId="1A4D817F"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 </w:t>
      </w:r>
    </w:p>
    <w:p w14:paraId="2A6DAECB" w14:textId="77777777" w:rsidR="007272EA" w:rsidRDefault="00162F2E" w:rsidP="00A51CEF">
      <w:pPr>
        <w:autoSpaceDE/>
        <w:autoSpaceDN/>
        <w:adjustRightInd/>
        <w:spacing w:after="0"/>
        <w:textAlignment w:val="baseline"/>
        <w:rPr>
          <w:rFonts w:eastAsia="Times New Roman" w:cs="Arial"/>
          <w:color w:val="auto"/>
          <w:lang w:eastAsia="en-GB"/>
        </w:rPr>
      </w:pPr>
      <w:r w:rsidRPr="00DC5E60">
        <w:rPr>
          <w:rFonts w:eastAsia="Times New Roman" w:cs="Arial"/>
          <w:color w:val="auto"/>
          <w:lang w:eastAsia="en-GB"/>
        </w:rPr>
        <w:t>The outturn position includes an underspend of £638,000 on employees, which is due to vacancies, employees opting out of the pension scheme and employees working v-time arrangements.</w:t>
      </w:r>
      <w:r w:rsidR="00A51CEF">
        <w:rPr>
          <w:rFonts w:eastAsia="Times New Roman" w:cs="Arial"/>
          <w:color w:val="auto"/>
          <w:lang w:eastAsia="en-GB"/>
        </w:rPr>
        <w:t xml:space="preserve"> </w:t>
      </w:r>
      <w:r w:rsidRPr="00DC5E60">
        <w:rPr>
          <w:rFonts w:eastAsia="Times New Roman" w:cs="Arial"/>
          <w:color w:val="auto"/>
          <w:lang w:eastAsia="en-GB"/>
        </w:rPr>
        <w:t xml:space="preserve">There was </w:t>
      </w:r>
      <w:r w:rsidR="00733167">
        <w:rPr>
          <w:rFonts w:eastAsia="Times New Roman" w:cs="Arial"/>
          <w:color w:val="auto"/>
          <w:lang w:eastAsia="en-GB"/>
        </w:rPr>
        <w:t xml:space="preserve">a </w:t>
      </w:r>
      <w:r w:rsidRPr="00DC5E60">
        <w:rPr>
          <w:rFonts w:eastAsia="Times New Roman" w:cs="Arial"/>
          <w:color w:val="auto"/>
          <w:lang w:eastAsia="en-GB"/>
        </w:rPr>
        <w:t xml:space="preserve">net overachievement of income of £30,000 </w:t>
      </w:r>
      <w:r w:rsidR="00A51CEF">
        <w:rPr>
          <w:rFonts w:eastAsia="Times New Roman" w:cs="Arial"/>
          <w:color w:val="auto"/>
          <w:lang w:eastAsia="en-GB"/>
        </w:rPr>
        <w:t>and</w:t>
      </w:r>
      <w:r w:rsidRPr="00DC5E60">
        <w:rPr>
          <w:rFonts w:eastAsia="Times New Roman" w:cs="Arial"/>
          <w:color w:val="auto"/>
          <w:lang w:eastAsia="en-GB"/>
        </w:rPr>
        <w:t xml:space="preserve"> an overspend of £60,000 on supplies and services, largely due to software expenditure</w:t>
      </w:r>
      <w:r>
        <w:rPr>
          <w:rFonts w:eastAsia="Times New Roman" w:cs="Arial"/>
          <w:color w:val="auto"/>
          <w:lang w:eastAsia="en-GB"/>
        </w:rPr>
        <w:t>.</w:t>
      </w:r>
    </w:p>
    <w:p w14:paraId="4CD76A6D" w14:textId="77777777" w:rsidR="00DC5E60" w:rsidRPr="00DC5E60" w:rsidRDefault="00DC5E60" w:rsidP="00A51CEF">
      <w:pPr>
        <w:autoSpaceDE/>
        <w:autoSpaceDN/>
        <w:adjustRightInd/>
        <w:spacing w:after="0"/>
        <w:textAlignment w:val="baseline"/>
        <w:rPr>
          <w:rFonts w:ascii="Segoe UI" w:eastAsia="Times New Roman" w:hAnsi="Segoe UI" w:cs="Segoe UI"/>
          <w:color w:val="auto"/>
          <w:sz w:val="18"/>
          <w:szCs w:val="18"/>
          <w:lang w:eastAsia="en-GB"/>
        </w:rPr>
      </w:pPr>
    </w:p>
    <w:p w14:paraId="7F1AB8C7"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The service received £25,000 Contain Outbreak Management Fund income not budgeted for. </w:t>
      </w:r>
    </w:p>
    <w:p w14:paraId="3F2F9AB0"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FF0000"/>
          <w:lang w:eastAsia="en-GB"/>
        </w:rPr>
        <w:t> </w:t>
      </w:r>
    </w:p>
    <w:p w14:paraId="204E1719"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b/>
          <w:bCs/>
          <w:color w:val="auto"/>
          <w:lang w:eastAsia="en-GB"/>
        </w:rPr>
        <w:t>Financial Management (Development and Schools) – underspend of £134,000</w:t>
      </w:r>
      <w:r w:rsidRPr="00DC5E60">
        <w:rPr>
          <w:rFonts w:eastAsia="Times New Roman" w:cs="Arial"/>
          <w:color w:val="auto"/>
          <w:lang w:eastAsia="en-GB"/>
        </w:rPr>
        <w:t> </w:t>
      </w:r>
    </w:p>
    <w:p w14:paraId="6ED8E6A8"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 </w:t>
      </w:r>
    </w:p>
    <w:p w14:paraId="1215AD4D"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The outturn position includes an underspend of £58,000 on employee costs.</w:t>
      </w:r>
      <w:r w:rsidR="00C52256">
        <w:rPr>
          <w:rFonts w:ascii="Segoe UI" w:eastAsia="Times New Roman" w:hAnsi="Segoe UI" w:cs="Segoe UI"/>
          <w:color w:val="auto"/>
          <w:sz w:val="18"/>
          <w:szCs w:val="18"/>
          <w:lang w:eastAsia="en-GB"/>
        </w:rPr>
        <w:t xml:space="preserve"> </w:t>
      </w:r>
      <w:r w:rsidRPr="00DC5E60">
        <w:rPr>
          <w:rFonts w:eastAsia="Times New Roman" w:cs="Arial"/>
          <w:color w:val="auto"/>
          <w:lang w:eastAsia="en-GB"/>
        </w:rPr>
        <w:t>There is an underspend of £146,000 on Supplies and Services, largely due to underspends of £41,000 on transport costs and £105,000 on other general expenditure. </w:t>
      </w:r>
    </w:p>
    <w:p w14:paraId="64A61699"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 </w:t>
      </w:r>
    </w:p>
    <w:p w14:paraId="52BDCB31"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b/>
          <w:bCs/>
          <w:color w:val="auto"/>
          <w:lang w:eastAsia="en-GB"/>
        </w:rPr>
        <w:t>Financial Management (Operational) – underspend of £14</w:t>
      </w:r>
      <w:r w:rsidR="007272EA">
        <w:rPr>
          <w:rFonts w:eastAsia="Times New Roman" w:cs="Arial"/>
          <w:b/>
          <w:bCs/>
          <w:color w:val="auto"/>
          <w:lang w:eastAsia="en-GB"/>
        </w:rPr>
        <w:t>9</w:t>
      </w:r>
      <w:r w:rsidRPr="00DC5E60">
        <w:rPr>
          <w:rFonts w:eastAsia="Times New Roman" w:cs="Arial"/>
          <w:b/>
          <w:bCs/>
          <w:color w:val="auto"/>
          <w:lang w:eastAsia="en-GB"/>
        </w:rPr>
        <w:t>,000</w:t>
      </w:r>
      <w:r w:rsidRPr="00DC5E60">
        <w:rPr>
          <w:rFonts w:eastAsia="Times New Roman" w:cs="Arial"/>
          <w:color w:val="auto"/>
          <w:lang w:eastAsia="en-GB"/>
        </w:rPr>
        <w:t> </w:t>
      </w:r>
    </w:p>
    <w:p w14:paraId="5628E7F2"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 </w:t>
      </w:r>
    </w:p>
    <w:p w14:paraId="7A572440"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The outturn position includes an overspend of £280,000 on employee costs due to agency staff cover, staff overlaps due to retirement and the vacancy factor and PALS savings not being realised</w:t>
      </w:r>
      <w:r w:rsidR="00C52256">
        <w:rPr>
          <w:rFonts w:eastAsia="Times New Roman" w:cs="Arial"/>
          <w:color w:val="auto"/>
          <w:lang w:eastAsia="en-GB"/>
        </w:rPr>
        <w:t xml:space="preserve"> offset by a</w:t>
      </w:r>
      <w:r w:rsidR="00812BBE">
        <w:rPr>
          <w:rFonts w:eastAsia="Times New Roman" w:cs="Arial"/>
          <w:color w:val="auto"/>
          <w:lang w:eastAsia="en-GB"/>
        </w:rPr>
        <w:t xml:space="preserve"> positive variance on income</w:t>
      </w:r>
      <w:r w:rsidR="00CD6596">
        <w:rPr>
          <w:rFonts w:eastAsia="Times New Roman" w:cs="Arial"/>
          <w:color w:val="auto"/>
          <w:lang w:eastAsia="en-GB"/>
        </w:rPr>
        <w:t xml:space="preserve">. The income variance is </w:t>
      </w:r>
      <w:r w:rsidR="00CD6596" w:rsidRPr="00DC5E60">
        <w:rPr>
          <w:rFonts w:eastAsia="Times New Roman" w:cs="Arial"/>
          <w:color w:val="auto"/>
          <w:lang w:eastAsia="en-GB"/>
        </w:rPr>
        <w:t>an overachievement of interest on deferred payment agreement income of £37,000, Fusion Project income of £167,000</w:t>
      </w:r>
      <w:r w:rsidR="00E8487E">
        <w:rPr>
          <w:rFonts w:eastAsia="Times New Roman" w:cs="Arial"/>
          <w:color w:val="auto"/>
          <w:lang w:eastAsia="en-GB"/>
        </w:rPr>
        <w:t xml:space="preserve"> and </w:t>
      </w:r>
      <w:r w:rsidR="00CD6596" w:rsidRPr="00DC5E60">
        <w:rPr>
          <w:rFonts w:eastAsia="Times New Roman" w:cs="Arial"/>
          <w:color w:val="auto"/>
          <w:lang w:eastAsia="en-GB"/>
        </w:rPr>
        <w:t>Contain Outbreak Management Fund grant income of £75,000</w:t>
      </w:r>
      <w:r w:rsidR="00E8487E">
        <w:rPr>
          <w:rFonts w:ascii="Segoe UI" w:eastAsia="Times New Roman" w:hAnsi="Segoe UI" w:cs="Segoe UI"/>
          <w:color w:val="auto"/>
          <w:sz w:val="18"/>
          <w:szCs w:val="18"/>
          <w:lang w:eastAsia="en-GB"/>
        </w:rPr>
        <w:t xml:space="preserve">. </w:t>
      </w:r>
      <w:r w:rsidRPr="00DC5E60">
        <w:rPr>
          <w:rFonts w:eastAsia="Times New Roman" w:cs="Arial"/>
          <w:color w:val="auto"/>
          <w:lang w:eastAsia="en-GB"/>
        </w:rPr>
        <w:t xml:space="preserve">There is </w:t>
      </w:r>
      <w:r w:rsidR="00E8487E">
        <w:rPr>
          <w:rFonts w:eastAsia="Times New Roman" w:cs="Arial"/>
          <w:color w:val="auto"/>
          <w:lang w:eastAsia="en-GB"/>
        </w:rPr>
        <w:t xml:space="preserve">also </w:t>
      </w:r>
      <w:r w:rsidRPr="00DC5E60">
        <w:rPr>
          <w:rFonts w:eastAsia="Times New Roman" w:cs="Arial"/>
          <w:color w:val="auto"/>
          <w:lang w:eastAsia="en-GB"/>
        </w:rPr>
        <w:t>an underspend on supplies and services expenditure of £144,000</w:t>
      </w:r>
      <w:r w:rsidR="0069446A">
        <w:rPr>
          <w:rFonts w:eastAsia="Times New Roman" w:cs="Arial"/>
          <w:color w:val="auto"/>
          <w:lang w:eastAsia="en-GB"/>
        </w:rPr>
        <w:t>.</w:t>
      </w:r>
      <w:r w:rsidRPr="00DC5E60">
        <w:rPr>
          <w:rFonts w:eastAsia="Times New Roman" w:cs="Arial"/>
          <w:color w:val="auto"/>
          <w:lang w:eastAsia="en-GB"/>
        </w:rPr>
        <w:t xml:space="preserve"> </w:t>
      </w:r>
    </w:p>
    <w:p w14:paraId="7C169652"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 </w:t>
      </w:r>
    </w:p>
    <w:p w14:paraId="0991B75C"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b/>
          <w:bCs/>
          <w:color w:val="auto"/>
          <w:lang w:eastAsia="en-GB"/>
        </w:rPr>
        <w:t>Payroll – underspend of £189,000</w:t>
      </w:r>
      <w:r w:rsidRPr="00DC5E60">
        <w:rPr>
          <w:rFonts w:eastAsia="Times New Roman" w:cs="Arial"/>
          <w:color w:val="auto"/>
          <w:lang w:eastAsia="en-GB"/>
        </w:rPr>
        <w:t> </w:t>
      </w:r>
    </w:p>
    <w:p w14:paraId="363409BB"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 </w:t>
      </w:r>
    </w:p>
    <w:p w14:paraId="05662573" w14:textId="77777777" w:rsidR="00DC5E60" w:rsidRPr="00DC5E60" w:rsidRDefault="00162F2E" w:rsidP="00DC5E60">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 xml:space="preserve">The </w:t>
      </w:r>
      <w:r w:rsidR="000C2C58">
        <w:rPr>
          <w:rFonts w:eastAsia="Times New Roman" w:cs="Arial"/>
          <w:color w:val="auto"/>
          <w:lang w:eastAsia="en-GB"/>
        </w:rPr>
        <w:t xml:space="preserve">underspend is primarily on staffing due to </w:t>
      </w:r>
      <w:r w:rsidRPr="00DC5E60">
        <w:rPr>
          <w:rFonts w:eastAsia="Times New Roman" w:cs="Arial"/>
          <w:color w:val="auto"/>
          <w:lang w:eastAsia="en-GB"/>
        </w:rPr>
        <w:t>vacancies.  </w:t>
      </w:r>
    </w:p>
    <w:p w14:paraId="3AB77070" w14:textId="77777777" w:rsidR="00D10794" w:rsidRPr="008B5416" w:rsidRDefault="00162F2E" w:rsidP="008B5416">
      <w:pPr>
        <w:autoSpaceDE/>
        <w:autoSpaceDN/>
        <w:adjustRightInd/>
        <w:spacing w:after="0"/>
        <w:textAlignment w:val="baseline"/>
        <w:rPr>
          <w:rFonts w:ascii="Segoe UI" w:eastAsia="Times New Roman" w:hAnsi="Segoe UI" w:cs="Segoe UI"/>
          <w:color w:val="auto"/>
          <w:sz w:val="18"/>
          <w:szCs w:val="18"/>
          <w:lang w:eastAsia="en-GB"/>
        </w:rPr>
      </w:pPr>
      <w:r w:rsidRPr="00DC5E60">
        <w:rPr>
          <w:rFonts w:eastAsia="Times New Roman" w:cs="Arial"/>
          <w:color w:val="auto"/>
          <w:lang w:eastAsia="en-GB"/>
        </w:rPr>
        <w:t> </w:t>
      </w:r>
      <w:r w:rsidRPr="00DC5E60">
        <w:rPr>
          <w:rFonts w:eastAsia="Times New Roman" w:cs="Arial"/>
          <w:color w:val="FF0000"/>
          <w:lang w:eastAsia="en-GB"/>
        </w:rPr>
        <w:t> </w:t>
      </w:r>
    </w:p>
    <w:p w14:paraId="2A61535A" w14:textId="77777777" w:rsidR="00D10794" w:rsidRPr="008B5416" w:rsidRDefault="00162F2E" w:rsidP="00D10794">
      <w:pPr>
        <w:spacing w:after="0"/>
        <w:rPr>
          <w:rFonts w:cs="Arial"/>
          <w:b/>
        </w:rPr>
      </w:pPr>
      <w:r w:rsidRPr="008B5416">
        <w:rPr>
          <w:rFonts w:eastAsia="Times New Roman" w:cs="Arial"/>
          <w:b/>
          <w:lang w:eastAsia="en-GB"/>
        </w:rPr>
        <w:t>3.10</w:t>
      </w:r>
      <w:r w:rsidRPr="008B5416">
        <w:rPr>
          <w:rFonts w:eastAsia="Times New Roman" w:cs="Arial"/>
          <w:b/>
          <w:lang w:eastAsia="en-GB"/>
        </w:rPr>
        <w:tab/>
      </w:r>
      <w:r w:rsidRPr="008B5416">
        <w:rPr>
          <w:rFonts w:cs="Arial"/>
          <w:b/>
        </w:rPr>
        <w:t xml:space="preserve">Corporate Services </w:t>
      </w:r>
    </w:p>
    <w:p w14:paraId="72C7754A" w14:textId="77777777" w:rsidR="008A6649" w:rsidRDefault="008A6649" w:rsidP="00D10794">
      <w:pPr>
        <w:spacing w:after="0"/>
        <w:rPr>
          <w:rFonts w:cs="Arial"/>
          <w:b/>
          <w:highlight w:val="yellow"/>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6"/>
        <w:gridCol w:w="1110"/>
        <w:gridCol w:w="1058"/>
        <w:gridCol w:w="1065"/>
        <w:gridCol w:w="1065"/>
        <w:gridCol w:w="1014"/>
      </w:tblGrid>
      <w:tr w:rsidR="006E5B54" w14:paraId="48CE731A" w14:textId="77777777" w:rsidTr="00BE25B2">
        <w:trPr>
          <w:trHeight w:val="660"/>
        </w:trPr>
        <w:tc>
          <w:tcPr>
            <w:tcW w:w="3525" w:type="dxa"/>
            <w:tcBorders>
              <w:top w:val="single" w:sz="6" w:space="0" w:color="auto"/>
              <w:left w:val="single" w:sz="6" w:space="0" w:color="auto"/>
              <w:bottom w:val="nil"/>
              <w:right w:val="single" w:sz="6" w:space="0" w:color="auto"/>
            </w:tcBorders>
            <w:shd w:val="clear" w:color="auto" w:fill="D9D9D9"/>
            <w:vAlign w:val="center"/>
            <w:hideMark/>
          </w:tcPr>
          <w:p w14:paraId="68EB90AA"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Corporate Services</w:t>
            </w:r>
            <w:r w:rsidRPr="008B5416">
              <w:rPr>
                <w:rFonts w:eastAsia="Times New Roman" w:cs="Arial"/>
                <w:sz w:val="20"/>
                <w:szCs w:val="20"/>
                <w:lang w:eastAsia="en-GB"/>
              </w:rPr>
              <w:t> </w:t>
            </w:r>
          </w:p>
        </w:tc>
        <w:tc>
          <w:tcPr>
            <w:tcW w:w="1140" w:type="dxa"/>
            <w:tcBorders>
              <w:top w:val="single" w:sz="6" w:space="0" w:color="auto"/>
              <w:left w:val="nil"/>
              <w:bottom w:val="nil"/>
              <w:right w:val="single" w:sz="6" w:space="0" w:color="auto"/>
            </w:tcBorders>
            <w:shd w:val="clear" w:color="auto" w:fill="D9D9D9"/>
            <w:vAlign w:val="center"/>
            <w:hideMark/>
          </w:tcPr>
          <w:p w14:paraId="3019C278"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Approved Net Budget </w:t>
            </w:r>
            <w:r w:rsidRPr="008B5416">
              <w:rPr>
                <w:rFonts w:eastAsia="Times New Roman" w:cs="Arial"/>
                <w:sz w:val="20"/>
                <w:szCs w:val="20"/>
                <w:lang w:eastAsia="en-GB"/>
              </w:rPr>
              <w:t> </w:t>
            </w:r>
          </w:p>
        </w:tc>
        <w:tc>
          <w:tcPr>
            <w:tcW w:w="1095" w:type="dxa"/>
            <w:tcBorders>
              <w:top w:val="single" w:sz="6" w:space="0" w:color="auto"/>
              <w:left w:val="nil"/>
              <w:bottom w:val="nil"/>
              <w:right w:val="single" w:sz="6" w:space="0" w:color="auto"/>
            </w:tcBorders>
            <w:shd w:val="clear" w:color="auto" w:fill="D9D9D9"/>
            <w:vAlign w:val="center"/>
            <w:hideMark/>
          </w:tcPr>
          <w:p w14:paraId="674640F8"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Net Outturn </w:t>
            </w:r>
            <w:r w:rsidRPr="008B5416">
              <w:rPr>
                <w:rFonts w:eastAsia="Times New Roman" w:cs="Arial"/>
                <w:sz w:val="20"/>
                <w:szCs w:val="20"/>
                <w:lang w:eastAsia="en-GB"/>
              </w:rPr>
              <w:t> </w:t>
            </w:r>
          </w:p>
        </w:tc>
        <w:tc>
          <w:tcPr>
            <w:tcW w:w="1095" w:type="dxa"/>
            <w:tcBorders>
              <w:top w:val="single" w:sz="6" w:space="0" w:color="auto"/>
              <w:left w:val="nil"/>
              <w:bottom w:val="nil"/>
              <w:right w:val="single" w:sz="6" w:space="0" w:color="auto"/>
            </w:tcBorders>
            <w:shd w:val="clear" w:color="auto" w:fill="D9D9D9"/>
            <w:vAlign w:val="center"/>
            <w:hideMark/>
          </w:tcPr>
          <w:p w14:paraId="0D375FF6"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Net Outturn Variance</w:t>
            </w:r>
            <w:r w:rsidRPr="008B5416">
              <w:rPr>
                <w:rFonts w:eastAsia="Times New Roman" w:cs="Arial"/>
                <w:sz w:val="20"/>
                <w:szCs w:val="20"/>
                <w:lang w:eastAsia="en-GB"/>
              </w:rPr>
              <w:t> </w:t>
            </w:r>
          </w:p>
        </w:tc>
        <w:tc>
          <w:tcPr>
            <w:tcW w:w="1095" w:type="dxa"/>
            <w:tcBorders>
              <w:top w:val="single" w:sz="6" w:space="0" w:color="auto"/>
              <w:left w:val="nil"/>
              <w:bottom w:val="nil"/>
              <w:right w:val="single" w:sz="6" w:space="0" w:color="auto"/>
            </w:tcBorders>
            <w:shd w:val="clear" w:color="auto" w:fill="D9D9D9"/>
            <w:vAlign w:val="center"/>
            <w:hideMark/>
          </w:tcPr>
          <w:p w14:paraId="20690921"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Net Outturn Variance</w:t>
            </w:r>
            <w:r w:rsidRPr="008B5416">
              <w:rPr>
                <w:rFonts w:eastAsia="Times New Roman" w:cs="Arial"/>
                <w:sz w:val="20"/>
                <w:szCs w:val="20"/>
                <w:lang w:eastAsia="en-GB"/>
              </w:rPr>
              <w:t> </w:t>
            </w:r>
          </w:p>
        </w:tc>
        <w:tc>
          <w:tcPr>
            <w:tcW w:w="1035" w:type="dxa"/>
            <w:tcBorders>
              <w:top w:val="single" w:sz="6" w:space="0" w:color="auto"/>
              <w:left w:val="nil"/>
              <w:bottom w:val="nil"/>
              <w:right w:val="single" w:sz="6" w:space="0" w:color="auto"/>
            </w:tcBorders>
            <w:shd w:val="clear" w:color="auto" w:fill="D9D9D9"/>
            <w:vAlign w:val="center"/>
            <w:hideMark/>
          </w:tcPr>
          <w:p w14:paraId="789009A2"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color w:val="auto"/>
                <w:sz w:val="20"/>
                <w:szCs w:val="20"/>
                <w:lang w:eastAsia="en-GB"/>
              </w:rPr>
              <w:t>Q3 Variance</w:t>
            </w:r>
            <w:r w:rsidRPr="008B5416">
              <w:rPr>
                <w:rFonts w:eastAsia="Times New Roman" w:cs="Arial"/>
                <w:color w:val="auto"/>
                <w:sz w:val="20"/>
                <w:szCs w:val="20"/>
                <w:lang w:eastAsia="en-GB"/>
              </w:rPr>
              <w:t> </w:t>
            </w:r>
          </w:p>
        </w:tc>
      </w:tr>
      <w:tr w:rsidR="006E5B54" w14:paraId="27E26D58" w14:textId="77777777" w:rsidTr="008B5416">
        <w:trPr>
          <w:trHeight w:val="240"/>
        </w:trPr>
        <w:tc>
          <w:tcPr>
            <w:tcW w:w="3525" w:type="dxa"/>
            <w:tcBorders>
              <w:top w:val="nil"/>
              <w:left w:val="single" w:sz="6" w:space="0" w:color="auto"/>
              <w:bottom w:val="single" w:sz="6" w:space="0" w:color="auto"/>
              <w:right w:val="single" w:sz="6" w:space="0" w:color="auto"/>
            </w:tcBorders>
            <w:shd w:val="clear" w:color="auto" w:fill="D9D9D9"/>
            <w:vAlign w:val="center"/>
            <w:hideMark/>
          </w:tcPr>
          <w:p w14:paraId="332291F9"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 </w:t>
            </w:r>
            <w:r w:rsidRPr="008B5416">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5046DC04"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£m</w:t>
            </w:r>
            <w:r w:rsidRPr="008B5416">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49736822"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£m</w:t>
            </w:r>
            <w:r w:rsidRPr="008B5416">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6B6EC2A8"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£m</w:t>
            </w:r>
            <w:r w:rsidRPr="008B5416">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132E8CDD"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w:t>
            </w:r>
            <w:r w:rsidRPr="008B5416">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7BDEA810" w14:textId="77777777" w:rsidR="008B5416" w:rsidRPr="008B5416" w:rsidRDefault="00162F2E" w:rsidP="008B5416">
            <w:pPr>
              <w:autoSpaceDE/>
              <w:autoSpaceDN/>
              <w:adjustRightInd/>
              <w:spacing w:after="0"/>
              <w:jc w:val="center"/>
              <w:textAlignment w:val="baseline"/>
              <w:rPr>
                <w:rFonts w:ascii="Segoe UI" w:eastAsia="Times New Roman" w:hAnsi="Segoe UI" w:cs="Segoe UI"/>
                <w:color w:val="auto"/>
                <w:sz w:val="18"/>
                <w:szCs w:val="18"/>
                <w:lang w:eastAsia="en-GB"/>
              </w:rPr>
            </w:pPr>
            <w:r w:rsidRPr="008B5416">
              <w:rPr>
                <w:rFonts w:eastAsia="Times New Roman" w:cs="Arial"/>
                <w:b/>
                <w:bCs/>
                <w:color w:val="auto"/>
                <w:sz w:val="20"/>
                <w:szCs w:val="20"/>
                <w:lang w:eastAsia="en-GB"/>
              </w:rPr>
              <w:t>£m</w:t>
            </w:r>
            <w:r w:rsidRPr="008B5416">
              <w:rPr>
                <w:rFonts w:eastAsia="Times New Roman" w:cs="Arial"/>
                <w:color w:val="auto"/>
                <w:sz w:val="20"/>
                <w:szCs w:val="20"/>
                <w:lang w:eastAsia="en-GB"/>
              </w:rPr>
              <w:t> </w:t>
            </w:r>
          </w:p>
        </w:tc>
      </w:tr>
      <w:tr w:rsidR="006E5B54" w14:paraId="7812DBBB" w14:textId="77777777" w:rsidTr="008B5416">
        <w:trPr>
          <w:trHeight w:val="240"/>
        </w:trPr>
        <w:tc>
          <w:tcPr>
            <w:tcW w:w="3525" w:type="dxa"/>
            <w:tcBorders>
              <w:top w:val="nil"/>
              <w:left w:val="single" w:sz="6" w:space="0" w:color="auto"/>
              <w:bottom w:val="single" w:sz="6" w:space="0" w:color="auto"/>
              <w:right w:val="single" w:sz="6" w:space="0" w:color="auto"/>
            </w:tcBorders>
            <w:shd w:val="clear" w:color="auto" w:fill="D9D9D9"/>
            <w:vAlign w:val="center"/>
            <w:hideMark/>
          </w:tcPr>
          <w:p w14:paraId="34898271" w14:textId="77777777" w:rsidR="008B5416" w:rsidRPr="008B5416" w:rsidRDefault="00162F2E" w:rsidP="008B5416">
            <w:pPr>
              <w:autoSpaceDE/>
              <w:autoSpaceDN/>
              <w:adjustRightInd/>
              <w:spacing w:after="0"/>
              <w:jc w:val="lef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Coroner's Service</w:t>
            </w:r>
            <w:r w:rsidRPr="008B5416">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1A5DE8BE"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2.451 </w:t>
            </w:r>
          </w:p>
        </w:tc>
        <w:tc>
          <w:tcPr>
            <w:tcW w:w="1095" w:type="dxa"/>
            <w:tcBorders>
              <w:top w:val="nil"/>
              <w:left w:val="nil"/>
              <w:bottom w:val="single" w:sz="6" w:space="0" w:color="auto"/>
              <w:right w:val="single" w:sz="6" w:space="0" w:color="auto"/>
            </w:tcBorders>
            <w:shd w:val="clear" w:color="auto" w:fill="auto"/>
            <w:vAlign w:val="center"/>
            <w:hideMark/>
          </w:tcPr>
          <w:p w14:paraId="1FB683A3"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2.410 </w:t>
            </w:r>
          </w:p>
        </w:tc>
        <w:tc>
          <w:tcPr>
            <w:tcW w:w="1095" w:type="dxa"/>
            <w:tcBorders>
              <w:top w:val="nil"/>
              <w:left w:val="nil"/>
              <w:bottom w:val="single" w:sz="6" w:space="0" w:color="auto"/>
              <w:right w:val="single" w:sz="6" w:space="0" w:color="auto"/>
            </w:tcBorders>
            <w:shd w:val="clear" w:color="auto" w:fill="D9D9D9"/>
            <w:vAlign w:val="center"/>
            <w:hideMark/>
          </w:tcPr>
          <w:p w14:paraId="37E4CA0D"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-0.041 </w:t>
            </w:r>
          </w:p>
        </w:tc>
        <w:tc>
          <w:tcPr>
            <w:tcW w:w="1095" w:type="dxa"/>
            <w:tcBorders>
              <w:top w:val="nil"/>
              <w:left w:val="nil"/>
              <w:bottom w:val="single" w:sz="6" w:space="0" w:color="auto"/>
              <w:right w:val="single" w:sz="6" w:space="0" w:color="auto"/>
            </w:tcBorders>
            <w:shd w:val="clear" w:color="auto" w:fill="auto"/>
            <w:vAlign w:val="center"/>
            <w:hideMark/>
          </w:tcPr>
          <w:p w14:paraId="5F281349"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-1.67% </w:t>
            </w:r>
          </w:p>
        </w:tc>
        <w:tc>
          <w:tcPr>
            <w:tcW w:w="1035" w:type="dxa"/>
            <w:tcBorders>
              <w:top w:val="nil"/>
              <w:left w:val="nil"/>
              <w:bottom w:val="single" w:sz="6" w:space="0" w:color="auto"/>
              <w:right w:val="single" w:sz="6" w:space="0" w:color="auto"/>
            </w:tcBorders>
            <w:shd w:val="clear" w:color="auto" w:fill="D9D9D9"/>
            <w:vAlign w:val="center"/>
            <w:hideMark/>
          </w:tcPr>
          <w:p w14:paraId="1F78CB10"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color w:val="auto"/>
                <w:sz w:val="20"/>
                <w:szCs w:val="20"/>
                <w:lang w:eastAsia="en-GB"/>
              </w:rPr>
              <w:t>-0.032 </w:t>
            </w:r>
          </w:p>
        </w:tc>
      </w:tr>
      <w:tr w:rsidR="006E5B54" w14:paraId="000BD3F1" w14:textId="77777777" w:rsidTr="008B5416">
        <w:trPr>
          <w:trHeight w:val="240"/>
        </w:trPr>
        <w:tc>
          <w:tcPr>
            <w:tcW w:w="3525" w:type="dxa"/>
            <w:tcBorders>
              <w:top w:val="nil"/>
              <w:left w:val="single" w:sz="6" w:space="0" w:color="auto"/>
              <w:bottom w:val="single" w:sz="6" w:space="0" w:color="auto"/>
              <w:right w:val="single" w:sz="6" w:space="0" w:color="auto"/>
            </w:tcBorders>
            <w:shd w:val="clear" w:color="auto" w:fill="D9D9D9"/>
            <w:vAlign w:val="center"/>
            <w:hideMark/>
          </w:tcPr>
          <w:p w14:paraId="06849A9C" w14:textId="77777777" w:rsidR="008B5416" w:rsidRPr="008B5416" w:rsidRDefault="00162F2E" w:rsidP="008B5416">
            <w:pPr>
              <w:autoSpaceDE/>
              <w:autoSpaceDN/>
              <w:adjustRightInd/>
              <w:spacing w:after="0"/>
              <w:jc w:val="lef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Human Resources</w:t>
            </w:r>
            <w:r w:rsidRPr="008B5416">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282C07F3"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1.828 </w:t>
            </w:r>
          </w:p>
        </w:tc>
        <w:tc>
          <w:tcPr>
            <w:tcW w:w="1095" w:type="dxa"/>
            <w:tcBorders>
              <w:top w:val="nil"/>
              <w:left w:val="nil"/>
              <w:bottom w:val="single" w:sz="6" w:space="0" w:color="auto"/>
              <w:right w:val="single" w:sz="6" w:space="0" w:color="auto"/>
            </w:tcBorders>
            <w:shd w:val="clear" w:color="auto" w:fill="auto"/>
            <w:vAlign w:val="center"/>
            <w:hideMark/>
          </w:tcPr>
          <w:p w14:paraId="3C39AE60"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1.590 </w:t>
            </w:r>
          </w:p>
        </w:tc>
        <w:tc>
          <w:tcPr>
            <w:tcW w:w="1095" w:type="dxa"/>
            <w:tcBorders>
              <w:top w:val="nil"/>
              <w:left w:val="nil"/>
              <w:bottom w:val="single" w:sz="6" w:space="0" w:color="auto"/>
              <w:right w:val="single" w:sz="6" w:space="0" w:color="auto"/>
            </w:tcBorders>
            <w:shd w:val="clear" w:color="auto" w:fill="D9D9D9"/>
            <w:vAlign w:val="center"/>
            <w:hideMark/>
          </w:tcPr>
          <w:p w14:paraId="0BE35C17"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-0.238 </w:t>
            </w:r>
          </w:p>
        </w:tc>
        <w:tc>
          <w:tcPr>
            <w:tcW w:w="1095" w:type="dxa"/>
            <w:tcBorders>
              <w:top w:val="nil"/>
              <w:left w:val="nil"/>
              <w:bottom w:val="single" w:sz="6" w:space="0" w:color="auto"/>
              <w:right w:val="single" w:sz="6" w:space="0" w:color="auto"/>
            </w:tcBorders>
            <w:shd w:val="clear" w:color="auto" w:fill="auto"/>
            <w:vAlign w:val="center"/>
            <w:hideMark/>
          </w:tcPr>
          <w:p w14:paraId="2C508F36"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-13.02% </w:t>
            </w:r>
          </w:p>
        </w:tc>
        <w:tc>
          <w:tcPr>
            <w:tcW w:w="1035" w:type="dxa"/>
            <w:tcBorders>
              <w:top w:val="nil"/>
              <w:left w:val="nil"/>
              <w:bottom w:val="single" w:sz="6" w:space="0" w:color="auto"/>
              <w:right w:val="single" w:sz="6" w:space="0" w:color="auto"/>
            </w:tcBorders>
            <w:shd w:val="clear" w:color="auto" w:fill="D9D9D9"/>
            <w:vAlign w:val="center"/>
            <w:hideMark/>
          </w:tcPr>
          <w:p w14:paraId="2992CE94"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color w:val="auto"/>
                <w:sz w:val="20"/>
                <w:szCs w:val="20"/>
                <w:lang w:eastAsia="en-GB"/>
              </w:rPr>
              <w:t>-0.085 </w:t>
            </w:r>
          </w:p>
        </w:tc>
      </w:tr>
      <w:tr w:rsidR="006E5B54" w14:paraId="0B8B7A67" w14:textId="77777777" w:rsidTr="008B5416">
        <w:trPr>
          <w:trHeight w:val="240"/>
        </w:trPr>
        <w:tc>
          <w:tcPr>
            <w:tcW w:w="3525" w:type="dxa"/>
            <w:tcBorders>
              <w:top w:val="nil"/>
              <w:left w:val="single" w:sz="6" w:space="0" w:color="auto"/>
              <w:bottom w:val="single" w:sz="6" w:space="0" w:color="auto"/>
              <w:right w:val="single" w:sz="6" w:space="0" w:color="auto"/>
            </w:tcBorders>
            <w:shd w:val="clear" w:color="auto" w:fill="D9D9D9"/>
            <w:vAlign w:val="center"/>
            <w:hideMark/>
          </w:tcPr>
          <w:p w14:paraId="60CE85A9" w14:textId="77777777" w:rsidR="008B5416" w:rsidRPr="008B5416" w:rsidRDefault="00162F2E" w:rsidP="008B5416">
            <w:pPr>
              <w:autoSpaceDE/>
              <w:autoSpaceDN/>
              <w:adjustRightInd/>
              <w:spacing w:after="0"/>
              <w:jc w:val="lef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Legal, Governance and Registrars</w:t>
            </w:r>
            <w:r w:rsidRPr="008B5416">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6DEA9EAD"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14.283 </w:t>
            </w:r>
          </w:p>
        </w:tc>
        <w:tc>
          <w:tcPr>
            <w:tcW w:w="1095" w:type="dxa"/>
            <w:tcBorders>
              <w:top w:val="nil"/>
              <w:left w:val="nil"/>
              <w:bottom w:val="single" w:sz="6" w:space="0" w:color="auto"/>
              <w:right w:val="single" w:sz="6" w:space="0" w:color="auto"/>
            </w:tcBorders>
            <w:shd w:val="clear" w:color="auto" w:fill="auto"/>
            <w:vAlign w:val="center"/>
            <w:hideMark/>
          </w:tcPr>
          <w:p w14:paraId="5CD64B1B"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14.213 </w:t>
            </w:r>
          </w:p>
        </w:tc>
        <w:tc>
          <w:tcPr>
            <w:tcW w:w="1095" w:type="dxa"/>
            <w:tcBorders>
              <w:top w:val="nil"/>
              <w:left w:val="nil"/>
              <w:bottom w:val="single" w:sz="6" w:space="0" w:color="auto"/>
              <w:right w:val="single" w:sz="6" w:space="0" w:color="auto"/>
            </w:tcBorders>
            <w:shd w:val="clear" w:color="auto" w:fill="D9D9D9"/>
            <w:vAlign w:val="center"/>
            <w:hideMark/>
          </w:tcPr>
          <w:p w14:paraId="240C392E"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-0.070 </w:t>
            </w:r>
          </w:p>
        </w:tc>
        <w:tc>
          <w:tcPr>
            <w:tcW w:w="1095" w:type="dxa"/>
            <w:tcBorders>
              <w:top w:val="nil"/>
              <w:left w:val="nil"/>
              <w:bottom w:val="single" w:sz="6" w:space="0" w:color="auto"/>
              <w:right w:val="single" w:sz="6" w:space="0" w:color="auto"/>
            </w:tcBorders>
            <w:shd w:val="clear" w:color="auto" w:fill="auto"/>
            <w:vAlign w:val="center"/>
            <w:hideMark/>
          </w:tcPr>
          <w:p w14:paraId="03FA628C"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-0.49% </w:t>
            </w:r>
          </w:p>
        </w:tc>
        <w:tc>
          <w:tcPr>
            <w:tcW w:w="1035" w:type="dxa"/>
            <w:tcBorders>
              <w:top w:val="nil"/>
              <w:left w:val="nil"/>
              <w:bottom w:val="single" w:sz="6" w:space="0" w:color="auto"/>
              <w:right w:val="single" w:sz="6" w:space="0" w:color="auto"/>
            </w:tcBorders>
            <w:shd w:val="clear" w:color="auto" w:fill="D9D9D9"/>
            <w:vAlign w:val="center"/>
            <w:hideMark/>
          </w:tcPr>
          <w:p w14:paraId="37A33741"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color w:val="auto"/>
                <w:sz w:val="20"/>
                <w:szCs w:val="20"/>
                <w:lang w:eastAsia="en-GB"/>
              </w:rPr>
              <w:t>0.474 </w:t>
            </w:r>
          </w:p>
        </w:tc>
      </w:tr>
      <w:tr w:rsidR="006E5B54" w14:paraId="4830AFAA" w14:textId="77777777" w:rsidTr="008B5416">
        <w:trPr>
          <w:trHeight w:val="240"/>
        </w:trPr>
        <w:tc>
          <w:tcPr>
            <w:tcW w:w="3525" w:type="dxa"/>
            <w:tcBorders>
              <w:top w:val="nil"/>
              <w:left w:val="single" w:sz="6" w:space="0" w:color="auto"/>
              <w:bottom w:val="single" w:sz="6" w:space="0" w:color="auto"/>
              <w:right w:val="single" w:sz="6" w:space="0" w:color="auto"/>
            </w:tcBorders>
            <w:shd w:val="clear" w:color="auto" w:fill="D9D9D9"/>
            <w:vAlign w:val="center"/>
            <w:hideMark/>
          </w:tcPr>
          <w:p w14:paraId="00E38755" w14:textId="77777777" w:rsidR="008B5416" w:rsidRPr="008B5416" w:rsidRDefault="00162F2E" w:rsidP="008B5416">
            <w:pPr>
              <w:autoSpaceDE/>
              <w:autoSpaceDN/>
              <w:adjustRightInd/>
              <w:spacing w:after="0"/>
              <w:jc w:val="lef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Skills Learning &amp; Development</w:t>
            </w:r>
            <w:r w:rsidRPr="008B5416">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33CB670D"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2.918 </w:t>
            </w:r>
          </w:p>
        </w:tc>
        <w:tc>
          <w:tcPr>
            <w:tcW w:w="1095" w:type="dxa"/>
            <w:tcBorders>
              <w:top w:val="nil"/>
              <w:left w:val="nil"/>
              <w:bottom w:val="single" w:sz="6" w:space="0" w:color="auto"/>
              <w:right w:val="single" w:sz="6" w:space="0" w:color="auto"/>
            </w:tcBorders>
            <w:shd w:val="clear" w:color="auto" w:fill="auto"/>
            <w:vAlign w:val="center"/>
            <w:hideMark/>
          </w:tcPr>
          <w:p w14:paraId="1D3D26C8"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2.653 </w:t>
            </w:r>
          </w:p>
        </w:tc>
        <w:tc>
          <w:tcPr>
            <w:tcW w:w="1095" w:type="dxa"/>
            <w:tcBorders>
              <w:top w:val="nil"/>
              <w:left w:val="nil"/>
              <w:bottom w:val="single" w:sz="6" w:space="0" w:color="auto"/>
              <w:right w:val="single" w:sz="6" w:space="0" w:color="auto"/>
            </w:tcBorders>
            <w:shd w:val="clear" w:color="auto" w:fill="D9D9D9"/>
            <w:vAlign w:val="center"/>
            <w:hideMark/>
          </w:tcPr>
          <w:p w14:paraId="4E058974"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-0.265 </w:t>
            </w:r>
          </w:p>
        </w:tc>
        <w:tc>
          <w:tcPr>
            <w:tcW w:w="1095" w:type="dxa"/>
            <w:tcBorders>
              <w:top w:val="nil"/>
              <w:left w:val="nil"/>
              <w:bottom w:val="single" w:sz="6" w:space="0" w:color="auto"/>
              <w:right w:val="single" w:sz="6" w:space="0" w:color="auto"/>
            </w:tcBorders>
            <w:shd w:val="clear" w:color="auto" w:fill="auto"/>
            <w:vAlign w:val="center"/>
            <w:hideMark/>
          </w:tcPr>
          <w:p w14:paraId="45771194"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-9.08% </w:t>
            </w:r>
          </w:p>
        </w:tc>
        <w:tc>
          <w:tcPr>
            <w:tcW w:w="1035" w:type="dxa"/>
            <w:tcBorders>
              <w:top w:val="nil"/>
              <w:left w:val="nil"/>
              <w:bottom w:val="single" w:sz="6" w:space="0" w:color="auto"/>
              <w:right w:val="single" w:sz="6" w:space="0" w:color="auto"/>
            </w:tcBorders>
            <w:shd w:val="clear" w:color="auto" w:fill="D9D9D9"/>
            <w:vAlign w:val="center"/>
            <w:hideMark/>
          </w:tcPr>
          <w:p w14:paraId="03EA2240"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color w:val="auto"/>
                <w:sz w:val="20"/>
                <w:szCs w:val="20"/>
                <w:lang w:eastAsia="en-GB"/>
              </w:rPr>
              <w:t>-0.111 </w:t>
            </w:r>
          </w:p>
        </w:tc>
      </w:tr>
      <w:tr w:rsidR="006E5B54" w14:paraId="3EB3B570" w14:textId="77777777" w:rsidTr="008B5416">
        <w:trPr>
          <w:trHeight w:val="240"/>
        </w:trPr>
        <w:tc>
          <w:tcPr>
            <w:tcW w:w="3525" w:type="dxa"/>
            <w:tcBorders>
              <w:top w:val="nil"/>
              <w:left w:val="single" w:sz="6" w:space="0" w:color="auto"/>
              <w:bottom w:val="single" w:sz="6" w:space="0" w:color="auto"/>
              <w:right w:val="single" w:sz="6" w:space="0" w:color="auto"/>
            </w:tcBorders>
            <w:shd w:val="clear" w:color="auto" w:fill="D9D9D9"/>
            <w:vAlign w:val="center"/>
            <w:hideMark/>
          </w:tcPr>
          <w:p w14:paraId="0ECFF25D" w14:textId="77777777" w:rsidR="008B5416" w:rsidRPr="008B5416" w:rsidRDefault="00162F2E" w:rsidP="008B5416">
            <w:pPr>
              <w:autoSpaceDE/>
              <w:autoSpaceDN/>
              <w:adjustRightInd/>
              <w:spacing w:after="0"/>
              <w:jc w:val="lef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Total</w:t>
            </w:r>
            <w:r w:rsidRPr="008B5416">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5A9198F3"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21.480</w:t>
            </w:r>
            <w:r w:rsidRPr="008B5416">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1EA580D7"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20.866</w:t>
            </w:r>
            <w:r w:rsidRPr="008B5416">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4E4C746C"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-0.614</w:t>
            </w:r>
            <w:r w:rsidRPr="008B5416">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661B358A"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-2.86%</w:t>
            </w:r>
            <w:r w:rsidRPr="008B5416">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3CE1D4F6"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b/>
                <w:bCs/>
                <w:color w:val="auto"/>
                <w:sz w:val="20"/>
                <w:szCs w:val="20"/>
                <w:lang w:eastAsia="en-GB"/>
              </w:rPr>
              <w:t>0.246</w:t>
            </w:r>
            <w:r w:rsidRPr="008B5416">
              <w:rPr>
                <w:rFonts w:eastAsia="Times New Roman" w:cs="Arial"/>
                <w:color w:val="auto"/>
                <w:sz w:val="20"/>
                <w:szCs w:val="20"/>
                <w:lang w:eastAsia="en-GB"/>
              </w:rPr>
              <w:t> </w:t>
            </w:r>
          </w:p>
        </w:tc>
      </w:tr>
      <w:tr w:rsidR="006E5B54" w14:paraId="793CE0AC" w14:textId="77777777" w:rsidTr="005B50B4">
        <w:trPr>
          <w:trHeight w:val="435"/>
        </w:trPr>
        <w:tc>
          <w:tcPr>
            <w:tcW w:w="3525"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0F445BE3" w14:textId="77777777" w:rsidR="008B5416" w:rsidRPr="008B5416" w:rsidRDefault="00162F2E" w:rsidP="008B5416">
            <w:pPr>
              <w:autoSpaceDE/>
              <w:autoSpaceDN/>
              <w:adjustRightInd/>
              <w:spacing w:after="0"/>
              <w:jc w:val="lef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 xml:space="preserve">Share of unallocated </w:t>
            </w:r>
            <w:r w:rsidR="0026517A">
              <w:rPr>
                <w:rFonts w:eastAsia="Times New Roman" w:cs="Arial"/>
                <w:b/>
                <w:bCs/>
                <w:sz w:val="20"/>
                <w:szCs w:val="20"/>
                <w:lang w:eastAsia="en-GB"/>
              </w:rPr>
              <w:t>C</w:t>
            </w:r>
            <w:r w:rsidR="00626DB7">
              <w:rPr>
                <w:rFonts w:eastAsia="Times New Roman" w:cs="Arial"/>
                <w:b/>
                <w:bCs/>
                <w:sz w:val="20"/>
                <w:szCs w:val="20"/>
                <w:lang w:eastAsia="en-GB"/>
              </w:rPr>
              <w:t>ovid</w:t>
            </w:r>
            <w:r w:rsidRPr="008B5416">
              <w:rPr>
                <w:rFonts w:eastAsia="Times New Roman" w:cs="Arial"/>
                <w:b/>
                <w:bCs/>
                <w:sz w:val="20"/>
                <w:szCs w:val="20"/>
                <w:lang w:eastAsia="en-GB"/>
              </w:rPr>
              <w:t>-19 emergency monies</w:t>
            </w:r>
            <w:r w:rsidRPr="008B5416">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auto"/>
            <w:vAlign w:val="center"/>
            <w:hideMark/>
          </w:tcPr>
          <w:p w14:paraId="4C85D0E8"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0.410 </w:t>
            </w:r>
          </w:p>
        </w:tc>
        <w:tc>
          <w:tcPr>
            <w:tcW w:w="1095" w:type="dxa"/>
            <w:tcBorders>
              <w:top w:val="nil"/>
              <w:left w:val="nil"/>
              <w:bottom w:val="single" w:sz="6" w:space="0" w:color="auto"/>
              <w:right w:val="single" w:sz="6" w:space="0" w:color="auto"/>
            </w:tcBorders>
            <w:shd w:val="clear" w:color="auto" w:fill="auto"/>
            <w:vAlign w:val="center"/>
            <w:hideMark/>
          </w:tcPr>
          <w:p w14:paraId="44AC2C06"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0.000 </w:t>
            </w:r>
          </w:p>
        </w:tc>
        <w:tc>
          <w:tcPr>
            <w:tcW w:w="1095" w:type="dxa"/>
            <w:tcBorders>
              <w:top w:val="nil"/>
              <w:left w:val="nil"/>
              <w:bottom w:val="single" w:sz="6" w:space="0" w:color="auto"/>
              <w:right w:val="single" w:sz="6" w:space="0" w:color="auto"/>
            </w:tcBorders>
            <w:shd w:val="clear" w:color="auto" w:fill="D9D9D9"/>
            <w:vAlign w:val="center"/>
            <w:hideMark/>
          </w:tcPr>
          <w:p w14:paraId="1C21B08F"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-0.410 </w:t>
            </w:r>
          </w:p>
        </w:tc>
        <w:tc>
          <w:tcPr>
            <w:tcW w:w="1095" w:type="dxa"/>
            <w:tcBorders>
              <w:top w:val="nil"/>
              <w:left w:val="nil"/>
              <w:bottom w:val="single" w:sz="6" w:space="0" w:color="auto"/>
              <w:right w:val="single" w:sz="6" w:space="0" w:color="auto"/>
            </w:tcBorders>
            <w:shd w:val="clear" w:color="auto" w:fill="auto"/>
            <w:vAlign w:val="center"/>
            <w:hideMark/>
          </w:tcPr>
          <w:p w14:paraId="537F1146"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4CC69487"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color w:val="auto"/>
                <w:sz w:val="20"/>
                <w:szCs w:val="20"/>
                <w:lang w:eastAsia="en-GB"/>
              </w:rPr>
              <w:t>-0.410 </w:t>
            </w:r>
          </w:p>
        </w:tc>
      </w:tr>
      <w:tr w:rsidR="006E5B54" w14:paraId="39E5860F" w14:textId="77777777" w:rsidTr="008B5416">
        <w:trPr>
          <w:trHeight w:val="240"/>
        </w:trPr>
        <w:tc>
          <w:tcPr>
            <w:tcW w:w="3525" w:type="dxa"/>
            <w:tcBorders>
              <w:top w:val="nil"/>
              <w:left w:val="single" w:sz="6" w:space="0" w:color="auto"/>
              <w:bottom w:val="single" w:sz="6" w:space="0" w:color="auto"/>
              <w:right w:val="single" w:sz="6" w:space="0" w:color="auto"/>
            </w:tcBorders>
            <w:shd w:val="clear" w:color="auto" w:fill="D9D9D9"/>
            <w:vAlign w:val="center"/>
            <w:hideMark/>
          </w:tcPr>
          <w:p w14:paraId="2F841A53" w14:textId="77777777" w:rsidR="008B5416" w:rsidRPr="008B5416" w:rsidRDefault="00162F2E" w:rsidP="008B5416">
            <w:pPr>
              <w:autoSpaceDE/>
              <w:autoSpaceDN/>
              <w:adjustRightInd/>
              <w:spacing w:after="0"/>
              <w:jc w:val="lef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lastRenderedPageBreak/>
              <w:t>Total Corporate Services</w:t>
            </w:r>
            <w:r w:rsidRPr="008B5416">
              <w:rPr>
                <w:rFonts w:eastAsia="Times New Roman" w:cs="Arial"/>
                <w:sz w:val="20"/>
                <w:szCs w:val="20"/>
                <w:lang w:eastAsia="en-GB"/>
              </w:rPr>
              <w:t> </w:t>
            </w:r>
          </w:p>
        </w:tc>
        <w:tc>
          <w:tcPr>
            <w:tcW w:w="1140" w:type="dxa"/>
            <w:tcBorders>
              <w:top w:val="nil"/>
              <w:left w:val="nil"/>
              <w:bottom w:val="single" w:sz="6" w:space="0" w:color="auto"/>
              <w:right w:val="single" w:sz="6" w:space="0" w:color="auto"/>
            </w:tcBorders>
            <w:shd w:val="clear" w:color="auto" w:fill="D9D9D9"/>
            <w:vAlign w:val="center"/>
            <w:hideMark/>
          </w:tcPr>
          <w:p w14:paraId="79F2B518"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21.890</w:t>
            </w:r>
            <w:r w:rsidRPr="008B5416">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6F1A5CD7"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20.866</w:t>
            </w:r>
            <w:r w:rsidRPr="008B5416">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61689F83"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-1.024</w:t>
            </w:r>
            <w:r w:rsidRPr="008B5416">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05BC44BA"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b/>
                <w:bCs/>
                <w:sz w:val="20"/>
                <w:szCs w:val="20"/>
                <w:lang w:eastAsia="en-GB"/>
              </w:rPr>
              <w:t>-4.68%</w:t>
            </w:r>
            <w:r w:rsidRPr="008B5416">
              <w:rPr>
                <w:rFonts w:eastAsia="Times New Roman" w:cs="Arial"/>
                <w:sz w:val="20"/>
                <w:szCs w:val="20"/>
                <w:lang w:eastAsia="en-GB"/>
              </w:rPr>
              <w:t> </w:t>
            </w:r>
          </w:p>
        </w:tc>
        <w:tc>
          <w:tcPr>
            <w:tcW w:w="1035" w:type="dxa"/>
            <w:tcBorders>
              <w:top w:val="nil"/>
              <w:left w:val="nil"/>
              <w:bottom w:val="single" w:sz="6" w:space="0" w:color="auto"/>
              <w:right w:val="single" w:sz="6" w:space="0" w:color="auto"/>
            </w:tcBorders>
            <w:shd w:val="clear" w:color="auto" w:fill="D9D9D9"/>
            <w:vAlign w:val="center"/>
            <w:hideMark/>
          </w:tcPr>
          <w:p w14:paraId="22A548C6" w14:textId="77777777" w:rsidR="008B5416" w:rsidRPr="008B5416" w:rsidRDefault="00162F2E" w:rsidP="008B5416">
            <w:pPr>
              <w:autoSpaceDE/>
              <w:autoSpaceDN/>
              <w:adjustRightInd/>
              <w:spacing w:after="0"/>
              <w:jc w:val="right"/>
              <w:textAlignment w:val="baseline"/>
              <w:rPr>
                <w:rFonts w:ascii="Segoe UI" w:eastAsia="Times New Roman" w:hAnsi="Segoe UI" w:cs="Segoe UI"/>
                <w:color w:val="auto"/>
                <w:sz w:val="18"/>
                <w:szCs w:val="18"/>
                <w:lang w:eastAsia="en-GB"/>
              </w:rPr>
            </w:pPr>
            <w:r w:rsidRPr="008B5416">
              <w:rPr>
                <w:rFonts w:eastAsia="Times New Roman" w:cs="Arial"/>
                <w:b/>
                <w:bCs/>
                <w:color w:val="auto"/>
                <w:sz w:val="20"/>
                <w:szCs w:val="20"/>
                <w:lang w:eastAsia="en-GB"/>
              </w:rPr>
              <w:t>-0.164</w:t>
            </w:r>
            <w:r w:rsidRPr="008B5416">
              <w:rPr>
                <w:rFonts w:eastAsia="Times New Roman" w:cs="Arial"/>
                <w:color w:val="auto"/>
                <w:sz w:val="20"/>
                <w:szCs w:val="20"/>
                <w:lang w:eastAsia="en-GB"/>
              </w:rPr>
              <w:t> </w:t>
            </w:r>
          </w:p>
        </w:tc>
      </w:tr>
    </w:tbl>
    <w:p w14:paraId="3554B4C8" w14:textId="77777777" w:rsidR="008A6649" w:rsidRPr="00812801" w:rsidRDefault="008A6649" w:rsidP="00D10794">
      <w:pPr>
        <w:spacing w:after="0"/>
        <w:rPr>
          <w:rFonts w:cs="Arial"/>
          <w:b/>
          <w:highlight w:val="yellow"/>
        </w:rPr>
      </w:pPr>
    </w:p>
    <w:p w14:paraId="0DA83380" w14:textId="77777777" w:rsidR="00D10794" w:rsidRDefault="00162F2E" w:rsidP="00D10794">
      <w:pPr>
        <w:autoSpaceDE/>
        <w:autoSpaceDN/>
        <w:adjustRightInd/>
        <w:spacing w:after="0"/>
        <w:jc w:val="left"/>
        <w:rPr>
          <w:b/>
          <w:highlight w:val="yellow"/>
        </w:rPr>
      </w:pPr>
      <w:r>
        <w:rPr>
          <w:rStyle w:val="normaltextrun"/>
          <w:rFonts w:cs="Arial"/>
          <w:shd w:val="clear" w:color="auto" w:fill="FFFFFF"/>
        </w:rPr>
        <w:t>The total approved net budget for Corporate Services in 2021/22 is £21.890m.  The outturn position represents an underspend of £1.024m. </w:t>
      </w:r>
    </w:p>
    <w:p w14:paraId="08CC7CFC" w14:textId="77777777" w:rsidR="009E29E1" w:rsidRDefault="009E29E1" w:rsidP="00D10794">
      <w:pPr>
        <w:autoSpaceDE/>
        <w:autoSpaceDN/>
        <w:adjustRightInd/>
        <w:spacing w:after="0"/>
        <w:jc w:val="left"/>
        <w:rPr>
          <w:b/>
          <w:highlight w:val="yellow"/>
        </w:rPr>
      </w:pPr>
    </w:p>
    <w:p w14:paraId="27E38DF7" w14:textId="77777777" w:rsidR="009E29E1" w:rsidRDefault="00162F2E" w:rsidP="00D10794">
      <w:pPr>
        <w:autoSpaceDE/>
        <w:autoSpaceDN/>
        <w:adjustRightInd/>
        <w:spacing w:after="0"/>
        <w:jc w:val="left"/>
        <w:rPr>
          <w:rStyle w:val="eop"/>
          <w:shd w:val="clear" w:color="auto" w:fill="FFFFFF"/>
        </w:rPr>
      </w:pPr>
      <w:r>
        <w:rPr>
          <w:rStyle w:val="normaltextrun"/>
          <w:rFonts w:cs="Arial"/>
          <w:b/>
          <w:bCs/>
          <w:shd w:val="clear" w:color="auto" w:fill="FFFFFF"/>
        </w:rPr>
        <w:t>Human Resources – underspend £238,000</w:t>
      </w:r>
      <w:r>
        <w:rPr>
          <w:rStyle w:val="eop"/>
          <w:shd w:val="clear" w:color="auto" w:fill="FFFFFF"/>
        </w:rPr>
        <w:t> </w:t>
      </w:r>
    </w:p>
    <w:p w14:paraId="5FC9FBF8" w14:textId="77777777" w:rsidR="003B039A" w:rsidRDefault="003B039A" w:rsidP="00D10794">
      <w:pPr>
        <w:autoSpaceDE/>
        <w:autoSpaceDN/>
        <w:adjustRightInd/>
        <w:spacing w:after="0"/>
        <w:jc w:val="left"/>
        <w:rPr>
          <w:rStyle w:val="eop"/>
          <w:shd w:val="clear" w:color="auto" w:fill="FFFFFF"/>
        </w:rPr>
      </w:pPr>
    </w:p>
    <w:p w14:paraId="62D43E9F" w14:textId="77777777" w:rsidR="003B039A" w:rsidRDefault="00162F2E" w:rsidP="0069446A">
      <w:pPr>
        <w:autoSpaceDE/>
        <w:autoSpaceDN/>
        <w:adjustRightInd/>
        <w:spacing w:after="0"/>
        <w:rPr>
          <w:rStyle w:val="eop"/>
          <w:shd w:val="clear" w:color="auto" w:fill="FFFFFF"/>
        </w:rPr>
      </w:pPr>
      <w:r>
        <w:rPr>
          <w:rStyle w:val="eop"/>
          <w:shd w:val="clear" w:color="auto" w:fill="FFFFFF"/>
        </w:rPr>
        <w:t>The underspend is due to an overachievement of income</w:t>
      </w:r>
      <w:r w:rsidR="0040050C">
        <w:rPr>
          <w:rStyle w:val="eop"/>
          <w:shd w:val="clear" w:color="auto" w:fill="FFFFFF"/>
        </w:rPr>
        <w:t xml:space="preserve"> from the Recruitment services, advertising income and the Fusion project.</w:t>
      </w:r>
    </w:p>
    <w:p w14:paraId="03733853" w14:textId="77777777" w:rsidR="00903F3A" w:rsidRDefault="00903F3A" w:rsidP="00D10794">
      <w:pPr>
        <w:autoSpaceDE/>
        <w:autoSpaceDN/>
        <w:adjustRightInd/>
        <w:spacing w:after="0"/>
        <w:jc w:val="left"/>
        <w:rPr>
          <w:rStyle w:val="eop"/>
          <w:shd w:val="clear" w:color="auto" w:fill="FFFFFF"/>
        </w:rPr>
      </w:pPr>
    </w:p>
    <w:p w14:paraId="76448477" w14:textId="77777777" w:rsidR="00903F3A" w:rsidRDefault="00162F2E" w:rsidP="00D10794">
      <w:pPr>
        <w:autoSpaceDE/>
        <w:autoSpaceDN/>
        <w:adjustRightInd/>
        <w:spacing w:after="0"/>
        <w:jc w:val="left"/>
        <w:rPr>
          <w:rStyle w:val="eop"/>
          <w:shd w:val="clear" w:color="auto" w:fill="FFFFFF"/>
        </w:rPr>
      </w:pPr>
      <w:r>
        <w:rPr>
          <w:rStyle w:val="normaltextrun"/>
          <w:rFonts w:cs="Arial"/>
          <w:b/>
          <w:bCs/>
          <w:shd w:val="clear" w:color="auto" w:fill="FFFFFF"/>
        </w:rPr>
        <w:t>Legal, Governance And Registrars – underspend £70,828</w:t>
      </w:r>
      <w:r>
        <w:rPr>
          <w:rStyle w:val="eop"/>
          <w:shd w:val="clear" w:color="auto" w:fill="FFFFFF"/>
        </w:rPr>
        <w:t> </w:t>
      </w:r>
    </w:p>
    <w:p w14:paraId="3D9AD1E6" w14:textId="77777777" w:rsidR="0085626B" w:rsidRDefault="0085626B" w:rsidP="00D10794">
      <w:pPr>
        <w:autoSpaceDE/>
        <w:autoSpaceDN/>
        <w:adjustRightInd/>
        <w:spacing w:after="0"/>
        <w:jc w:val="left"/>
        <w:rPr>
          <w:rStyle w:val="eop"/>
          <w:shd w:val="clear" w:color="auto" w:fill="FFFFFF"/>
        </w:rPr>
      </w:pPr>
    </w:p>
    <w:p w14:paraId="77734A61" w14:textId="77777777" w:rsidR="0085626B" w:rsidRDefault="00162F2E" w:rsidP="0069446A">
      <w:pPr>
        <w:autoSpaceDE/>
        <w:autoSpaceDN/>
        <w:adjustRightInd/>
        <w:spacing w:after="0"/>
        <w:rPr>
          <w:rStyle w:val="eop"/>
          <w:shd w:val="clear" w:color="auto" w:fill="FFFFFF"/>
        </w:rPr>
      </w:pPr>
      <w:r>
        <w:rPr>
          <w:rStyle w:val="normaltextrun"/>
          <w:rFonts w:cs="Arial"/>
          <w:shd w:val="clear" w:color="auto" w:fill="FFFFFF"/>
        </w:rPr>
        <w:t>This comprises of a combined forecasted underspend of £28,137 on Legal and Governance, and an underspend of £42,691 on Registrars.</w:t>
      </w:r>
      <w:r>
        <w:rPr>
          <w:rStyle w:val="eop"/>
          <w:shd w:val="clear" w:color="auto" w:fill="FFFFFF"/>
        </w:rPr>
        <w:t> </w:t>
      </w:r>
    </w:p>
    <w:p w14:paraId="1CF965AC" w14:textId="77777777" w:rsidR="00245C36" w:rsidRDefault="00245C36" w:rsidP="00D10794">
      <w:pPr>
        <w:autoSpaceDE/>
        <w:autoSpaceDN/>
        <w:adjustRightInd/>
        <w:spacing w:after="0"/>
        <w:jc w:val="left"/>
        <w:rPr>
          <w:rStyle w:val="eop"/>
          <w:shd w:val="clear" w:color="auto" w:fill="FFFFFF"/>
        </w:rPr>
      </w:pPr>
    </w:p>
    <w:p w14:paraId="26BE49D5" w14:textId="77777777" w:rsidR="00245C36" w:rsidRDefault="00162F2E" w:rsidP="00245C3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b/>
          <w:bCs/>
        </w:rPr>
        <w:t>Skills Learning &amp; Development – underspend £265,000</w:t>
      </w:r>
      <w:r>
        <w:rPr>
          <w:rStyle w:val="eop"/>
          <w:rFonts w:ascii="Arial" w:hAnsi="Arial"/>
        </w:rPr>
        <w:t> </w:t>
      </w:r>
    </w:p>
    <w:p w14:paraId="6D233BC1" w14:textId="77777777" w:rsidR="00245C36" w:rsidRDefault="00162F2E" w:rsidP="00245C3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rPr>
        <w:t> </w:t>
      </w:r>
    </w:p>
    <w:p w14:paraId="7BB850F9" w14:textId="77777777" w:rsidR="00245C36" w:rsidRDefault="00162F2E" w:rsidP="007272E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rPr>
        <w:t>Underspends of £304,000 relate to operational training budgets the most significant relating to the ex-service mentoring scheme, these were partly offset by reduced income from schools of £39,000.</w:t>
      </w:r>
      <w:r>
        <w:rPr>
          <w:rStyle w:val="eop"/>
          <w:rFonts w:ascii="Arial" w:hAnsi="Arial"/>
        </w:rPr>
        <w:t> </w:t>
      </w:r>
    </w:p>
    <w:p w14:paraId="69075604" w14:textId="77777777" w:rsidR="00245C36" w:rsidRPr="0006442C" w:rsidRDefault="00245C36" w:rsidP="00D10794">
      <w:pPr>
        <w:autoSpaceDE/>
        <w:autoSpaceDN/>
        <w:adjustRightInd/>
        <w:spacing w:after="0"/>
        <w:jc w:val="left"/>
        <w:rPr>
          <w:b/>
          <w:highlight w:val="yellow"/>
        </w:rPr>
      </w:pPr>
    </w:p>
    <w:p w14:paraId="597BD781" w14:textId="77777777" w:rsidR="002958B8" w:rsidRDefault="00162F2E" w:rsidP="00D10794">
      <w:pPr>
        <w:autoSpaceDE/>
        <w:autoSpaceDN/>
        <w:adjustRightInd/>
        <w:spacing w:after="0"/>
        <w:jc w:val="left"/>
        <w:rPr>
          <w:rFonts w:cs="Arial"/>
          <w:b/>
        </w:rPr>
      </w:pPr>
      <w:r w:rsidRPr="002A34A1">
        <w:rPr>
          <w:rFonts w:eastAsia="Times New Roman" w:cs="Arial"/>
          <w:b/>
          <w:lang w:eastAsia="en-GB"/>
        </w:rPr>
        <w:t>3.11</w:t>
      </w:r>
      <w:r w:rsidRPr="002A34A1">
        <w:rPr>
          <w:rFonts w:eastAsia="Times New Roman" w:cs="Arial"/>
          <w:b/>
          <w:lang w:eastAsia="en-GB"/>
        </w:rPr>
        <w:tab/>
      </w:r>
      <w:r w:rsidRPr="002A34A1">
        <w:rPr>
          <w:rFonts w:cs="Arial"/>
          <w:b/>
        </w:rPr>
        <w:t>Strategy and Performance</w:t>
      </w:r>
    </w:p>
    <w:p w14:paraId="7F0759F5" w14:textId="77777777" w:rsidR="002958B8" w:rsidRDefault="002958B8" w:rsidP="00D10794">
      <w:pPr>
        <w:autoSpaceDE/>
        <w:autoSpaceDN/>
        <w:adjustRightInd/>
        <w:spacing w:after="0"/>
        <w:jc w:val="left"/>
        <w:rPr>
          <w:rFonts w:cs="Arial"/>
          <w:b/>
        </w:rPr>
      </w:pPr>
    </w:p>
    <w:tbl>
      <w:tblPr>
        <w:tblW w:w="8977"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7"/>
        <w:gridCol w:w="1095"/>
        <w:gridCol w:w="1017"/>
        <w:gridCol w:w="1027"/>
        <w:gridCol w:w="1027"/>
        <w:gridCol w:w="1004"/>
        <w:gridCol w:w="1270"/>
      </w:tblGrid>
      <w:tr w:rsidR="006E5B54" w14:paraId="15CB47AC" w14:textId="77777777" w:rsidTr="000C2BF8">
        <w:trPr>
          <w:trHeight w:val="630"/>
        </w:trPr>
        <w:tc>
          <w:tcPr>
            <w:tcW w:w="2537" w:type="dxa"/>
            <w:tcBorders>
              <w:top w:val="single" w:sz="6" w:space="0" w:color="auto"/>
              <w:left w:val="single" w:sz="6" w:space="0" w:color="auto"/>
              <w:bottom w:val="nil"/>
              <w:right w:val="single" w:sz="6" w:space="0" w:color="auto"/>
            </w:tcBorders>
            <w:shd w:val="clear" w:color="auto" w:fill="D9D9D9"/>
            <w:vAlign w:val="center"/>
            <w:hideMark/>
          </w:tcPr>
          <w:p w14:paraId="581313FF"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Strategy and Performance</w:t>
            </w:r>
            <w:r w:rsidRPr="007A01F4">
              <w:rPr>
                <w:rFonts w:eastAsia="Times New Roman" w:cs="Arial"/>
                <w:sz w:val="20"/>
                <w:szCs w:val="20"/>
                <w:lang w:eastAsia="en-GB"/>
              </w:rPr>
              <w:t> </w:t>
            </w:r>
          </w:p>
        </w:tc>
        <w:tc>
          <w:tcPr>
            <w:tcW w:w="1095" w:type="dxa"/>
            <w:tcBorders>
              <w:top w:val="single" w:sz="6" w:space="0" w:color="auto"/>
              <w:left w:val="nil"/>
              <w:bottom w:val="nil"/>
              <w:right w:val="single" w:sz="6" w:space="0" w:color="auto"/>
            </w:tcBorders>
            <w:shd w:val="clear" w:color="auto" w:fill="D9D9D9"/>
            <w:vAlign w:val="center"/>
            <w:hideMark/>
          </w:tcPr>
          <w:p w14:paraId="6EF3118C"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Approved Net Budget </w:t>
            </w:r>
            <w:r w:rsidRPr="007A01F4">
              <w:rPr>
                <w:rFonts w:eastAsia="Times New Roman" w:cs="Arial"/>
                <w:sz w:val="20"/>
                <w:szCs w:val="20"/>
                <w:lang w:eastAsia="en-GB"/>
              </w:rPr>
              <w:t> </w:t>
            </w:r>
          </w:p>
        </w:tc>
        <w:tc>
          <w:tcPr>
            <w:tcW w:w="1017" w:type="dxa"/>
            <w:tcBorders>
              <w:top w:val="single" w:sz="6" w:space="0" w:color="auto"/>
              <w:left w:val="nil"/>
              <w:bottom w:val="nil"/>
              <w:right w:val="single" w:sz="6" w:space="0" w:color="auto"/>
            </w:tcBorders>
            <w:shd w:val="clear" w:color="auto" w:fill="D9D9D9"/>
            <w:vAlign w:val="center"/>
            <w:hideMark/>
          </w:tcPr>
          <w:p w14:paraId="7DF527FC"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Net Outturn </w:t>
            </w:r>
            <w:r w:rsidRPr="007A01F4">
              <w:rPr>
                <w:rFonts w:eastAsia="Times New Roman" w:cs="Arial"/>
                <w:sz w:val="20"/>
                <w:szCs w:val="20"/>
                <w:lang w:eastAsia="en-GB"/>
              </w:rPr>
              <w:t> </w:t>
            </w:r>
          </w:p>
        </w:tc>
        <w:tc>
          <w:tcPr>
            <w:tcW w:w="1027" w:type="dxa"/>
            <w:tcBorders>
              <w:top w:val="single" w:sz="6" w:space="0" w:color="auto"/>
              <w:left w:val="nil"/>
              <w:bottom w:val="nil"/>
              <w:right w:val="single" w:sz="6" w:space="0" w:color="auto"/>
            </w:tcBorders>
            <w:shd w:val="clear" w:color="auto" w:fill="D9D9D9"/>
            <w:vAlign w:val="center"/>
            <w:hideMark/>
          </w:tcPr>
          <w:p w14:paraId="410BDFC4"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Net Outturn Variance</w:t>
            </w:r>
            <w:r w:rsidRPr="007A01F4">
              <w:rPr>
                <w:rFonts w:eastAsia="Times New Roman" w:cs="Arial"/>
                <w:sz w:val="20"/>
                <w:szCs w:val="20"/>
                <w:lang w:eastAsia="en-GB"/>
              </w:rPr>
              <w:t> </w:t>
            </w:r>
          </w:p>
        </w:tc>
        <w:tc>
          <w:tcPr>
            <w:tcW w:w="1027" w:type="dxa"/>
            <w:tcBorders>
              <w:top w:val="single" w:sz="6" w:space="0" w:color="auto"/>
              <w:left w:val="nil"/>
              <w:bottom w:val="nil"/>
              <w:right w:val="single" w:sz="6" w:space="0" w:color="auto"/>
            </w:tcBorders>
            <w:shd w:val="clear" w:color="auto" w:fill="D9D9D9"/>
            <w:vAlign w:val="center"/>
            <w:hideMark/>
          </w:tcPr>
          <w:p w14:paraId="7F94275C"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Net Outturn Variance</w:t>
            </w:r>
            <w:r w:rsidRPr="007A01F4">
              <w:rPr>
                <w:rFonts w:eastAsia="Times New Roman" w:cs="Arial"/>
                <w:sz w:val="20"/>
                <w:szCs w:val="20"/>
                <w:lang w:eastAsia="en-GB"/>
              </w:rPr>
              <w:t> </w:t>
            </w:r>
          </w:p>
        </w:tc>
        <w:tc>
          <w:tcPr>
            <w:tcW w:w="1004" w:type="dxa"/>
            <w:tcBorders>
              <w:top w:val="single" w:sz="6" w:space="0" w:color="auto"/>
              <w:left w:val="nil"/>
              <w:bottom w:val="nil"/>
              <w:right w:val="single" w:sz="6" w:space="0" w:color="auto"/>
            </w:tcBorders>
            <w:shd w:val="clear" w:color="auto" w:fill="D9D9D9"/>
            <w:vAlign w:val="center"/>
            <w:hideMark/>
          </w:tcPr>
          <w:p w14:paraId="71B6E75C"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color w:val="auto"/>
                <w:sz w:val="20"/>
                <w:szCs w:val="20"/>
                <w:lang w:eastAsia="en-GB"/>
              </w:rPr>
              <w:t>Q3 Variance</w:t>
            </w:r>
            <w:r w:rsidRPr="007A01F4">
              <w:rPr>
                <w:rFonts w:eastAsia="Times New Roman" w:cs="Arial"/>
                <w:color w:val="auto"/>
                <w:sz w:val="20"/>
                <w:szCs w:val="20"/>
                <w:lang w:eastAsia="en-GB"/>
              </w:rPr>
              <w:t> </w:t>
            </w:r>
          </w:p>
        </w:tc>
        <w:tc>
          <w:tcPr>
            <w:tcW w:w="1270" w:type="dxa"/>
            <w:tcBorders>
              <w:top w:val="single" w:sz="6" w:space="0" w:color="auto"/>
              <w:left w:val="single" w:sz="6" w:space="0" w:color="auto"/>
              <w:bottom w:val="nil"/>
              <w:right w:val="single" w:sz="6" w:space="0" w:color="auto"/>
            </w:tcBorders>
            <w:shd w:val="clear" w:color="auto" w:fill="D9D9D9"/>
            <w:vAlign w:val="center"/>
            <w:hideMark/>
          </w:tcPr>
          <w:p w14:paraId="10D6A6D7"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color w:val="auto"/>
                <w:sz w:val="20"/>
                <w:szCs w:val="20"/>
                <w:lang w:eastAsia="en-GB"/>
              </w:rPr>
              <w:t>Movement</w:t>
            </w:r>
            <w:r w:rsidRPr="007A01F4">
              <w:rPr>
                <w:rFonts w:eastAsia="Times New Roman" w:cs="Arial"/>
                <w:color w:val="auto"/>
                <w:sz w:val="20"/>
                <w:szCs w:val="20"/>
                <w:lang w:eastAsia="en-GB"/>
              </w:rPr>
              <w:t> </w:t>
            </w:r>
            <w:r w:rsidRPr="007A01F4">
              <w:rPr>
                <w:rFonts w:eastAsia="Times New Roman" w:cs="Arial"/>
                <w:color w:val="auto"/>
                <w:sz w:val="20"/>
                <w:szCs w:val="20"/>
                <w:lang w:eastAsia="en-GB"/>
              </w:rPr>
              <w:br/>
            </w:r>
            <w:r w:rsidRPr="007A01F4">
              <w:rPr>
                <w:rFonts w:eastAsia="Times New Roman" w:cs="Arial"/>
                <w:b/>
                <w:bCs/>
                <w:color w:val="auto"/>
                <w:sz w:val="20"/>
                <w:szCs w:val="20"/>
                <w:lang w:eastAsia="en-GB"/>
              </w:rPr>
              <w:t>From Q3</w:t>
            </w:r>
            <w:r w:rsidRPr="007A01F4">
              <w:rPr>
                <w:rFonts w:eastAsia="Times New Roman" w:cs="Arial"/>
                <w:color w:val="auto"/>
                <w:sz w:val="20"/>
                <w:szCs w:val="20"/>
                <w:lang w:eastAsia="en-GB"/>
              </w:rPr>
              <w:t> </w:t>
            </w:r>
          </w:p>
        </w:tc>
      </w:tr>
      <w:tr w:rsidR="006E5B54" w14:paraId="12E7ED80" w14:textId="77777777" w:rsidTr="007A01F4">
        <w:trPr>
          <w:trHeight w:val="240"/>
        </w:trPr>
        <w:tc>
          <w:tcPr>
            <w:tcW w:w="2537" w:type="dxa"/>
            <w:tcBorders>
              <w:top w:val="nil"/>
              <w:left w:val="single" w:sz="6" w:space="0" w:color="auto"/>
              <w:bottom w:val="single" w:sz="6" w:space="0" w:color="auto"/>
              <w:right w:val="single" w:sz="6" w:space="0" w:color="auto"/>
            </w:tcBorders>
            <w:shd w:val="clear" w:color="auto" w:fill="D9D9D9"/>
            <w:vAlign w:val="center"/>
            <w:hideMark/>
          </w:tcPr>
          <w:p w14:paraId="3289427D"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 </w:t>
            </w:r>
            <w:r w:rsidRPr="007A01F4">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56C8874E"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£m</w:t>
            </w:r>
            <w:r w:rsidRPr="007A01F4">
              <w:rPr>
                <w:rFonts w:eastAsia="Times New Roman" w:cs="Arial"/>
                <w:sz w:val="20"/>
                <w:szCs w:val="20"/>
                <w:lang w:eastAsia="en-GB"/>
              </w:rPr>
              <w:t> </w:t>
            </w:r>
          </w:p>
        </w:tc>
        <w:tc>
          <w:tcPr>
            <w:tcW w:w="1017" w:type="dxa"/>
            <w:tcBorders>
              <w:top w:val="nil"/>
              <w:left w:val="nil"/>
              <w:bottom w:val="single" w:sz="6" w:space="0" w:color="auto"/>
              <w:right w:val="single" w:sz="6" w:space="0" w:color="auto"/>
            </w:tcBorders>
            <w:shd w:val="clear" w:color="auto" w:fill="D9D9D9"/>
            <w:vAlign w:val="center"/>
            <w:hideMark/>
          </w:tcPr>
          <w:p w14:paraId="65FBA9A1"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£m</w:t>
            </w:r>
            <w:r w:rsidRPr="007A01F4">
              <w:rPr>
                <w:rFonts w:eastAsia="Times New Roman" w:cs="Arial"/>
                <w:sz w:val="20"/>
                <w:szCs w:val="20"/>
                <w:lang w:eastAsia="en-GB"/>
              </w:rPr>
              <w:t> </w:t>
            </w:r>
          </w:p>
        </w:tc>
        <w:tc>
          <w:tcPr>
            <w:tcW w:w="1027" w:type="dxa"/>
            <w:tcBorders>
              <w:top w:val="nil"/>
              <w:left w:val="nil"/>
              <w:bottom w:val="single" w:sz="6" w:space="0" w:color="auto"/>
              <w:right w:val="single" w:sz="6" w:space="0" w:color="auto"/>
            </w:tcBorders>
            <w:shd w:val="clear" w:color="auto" w:fill="D9D9D9"/>
            <w:vAlign w:val="center"/>
            <w:hideMark/>
          </w:tcPr>
          <w:p w14:paraId="02A76DB8"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£m</w:t>
            </w:r>
            <w:r w:rsidRPr="007A01F4">
              <w:rPr>
                <w:rFonts w:eastAsia="Times New Roman" w:cs="Arial"/>
                <w:sz w:val="20"/>
                <w:szCs w:val="20"/>
                <w:lang w:eastAsia="en-GB"/>
              </w:rPr>
              <w:t> </w:t>
            </w:r>
          </w:p>
        </w:tc>
        <w:tc>
          <w:tcPr>
            <w:tcW w:w="1027" w:type="dxa"/>
            <w:tcBorders>
              <w:top w:val="nil"/>
              <w:left w:val="nil"/>
              <w:bottom w:val="single" w:sz="6" w:space="0" w:color="auto"/>
              <w:right w:val="single" w:sz="6" w:space="0" w:color="auto"/>
            </w:tcBorders>
            <w:shd w:val="clear" w:color="auto" w:fill="D9D9D9"/>
            <w:vAlign w:val="center"/>
            <w:hideMark/>
          </w:tcPr>
          <w:p w14:paraId="6C28D25B"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w:t>
            </w:r>
            <w:r w:rsidRPr="007A01F4">
              <w:rPr>
                <w:rFonts w:eastAsia="Times New Roman" w:cs="Arial"/>
                <w:sz w:val="20"/>
                <w:szCs w:val="20"/>
                <w:lang w:eastAsia="en-GB"/>
              </w:rPr>
              <w:t> </w:t>
            </w:r>
          </w:p>
        </w:tc>
        <w:tc>
          <w:tcPr>
            <w:tcW w:w="1004" w:type="dxa"/>
            <w:tcBorders>
              <w:top w:val="nil"/>
              <w:left w:val="nil"/>
              <w:bottom w:val="single" w:sz="6" w:space="0" w:color="auto"/>
              <w:right w:val="single" w:sz="6" w:space="0" w:color="auto"/>
            </w:tcBorders>
            <w:shd w:val="clear" w:color="auto" w:fill="D9D9D9"/>
            <w:vAlign w:val="center"/>
            <w:hideMark/>
          </w:tcPr>
          <w:p w14:paraId="751AD4D5"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color w:val="auto"/>
                <w:sz w:val="20"/>
                <w:szCs w:val="20"/>
                <w:lang w:eastAsia="en-GB"/>
              </w:rPr>
              <w:t>£m</w:t>
            </w:r>
            <w:r w:rsidRPr="007A01F4">
              <w:rPr>
                <w:rFonts w:eastAsia="Times New Roman" w:cs="Arial"/>
                <w:color w:val="auto"/>
                <w:sz w:val="20"/>
                <w:szCs w:val="20"/>
                <w:lang w:eastAsia="en-GB"/>
              </w:rPr>
              <w:t> </w:t>
            </w:r>
          </w:p>
        </w:tc>
        <w:tc>
          <w:tcPr>
            <w:tcW w:w="1270" w:type="dxa"/>
            <w:tcBorders>
              <w:top w:val="nil"/>
              <w:left w:val="single" w:sz="6" w:space="0" w:color="auto"/>
              <w:bottom w:val="single" w:sz="6" w:space="0" w:color="auto"/>
              <w:right w:val="single" w:sz="6" w:space="0" w:color="auto"/>
            </w:tcBorders>
            <w:shd w:val="clear" w:color="auto" w:fill="D9D9D9"/>
            <w:vAlign w:val="center"/>
            <w:hideMark/>
          </w:tcPr>
          <w:p w14:paraId="2163F62D" w14:textId="77777777" w:rsidR="007A01F4" w:rsidRPr="007A01F4" w:rsidRDefault="00162F2E" w:rsidP="007A01F4">
            <w:pPr>
              <w:autoSpaceDE/>
              <w:autoSpaceDN/>
              <w:adjustRightInd/>
              <w:spacing w:after="0"/>
              <w:jc w:val="center"/>
              <w:textAlignment w:val="baseline"/>
              <w:rPr>
                <w:rFonts w:ascii="Times New Roman" w:eastAsia="Times New Roman" w:hAnsi="Times New Roman" w:cs="Times New Roman"/>
                <w:color w:val="auto"/>
                <w:lang w:eastAsia="en-GB"/>
              </w:rPr>
            </w:pPr>
            <w:r w:rsidRPr="007A01F4">
              <w:rPr>
                <w:rFonts w:eastAsia="Times New Roman" w:cs="Arial"/>
                <w:b/>
                <w:bCs/>
                <w:color w:val="auto"/>
                <w:sz w:val="20"/>
                <w:szCs w:val="20"/>
                <w:lang w:eastAsia="en-GB"/>
              </w:rPr>
              <w:t>£m</w:t>
            </w:r>
            <w:r w:rsidRPr="007A01F4">
              <w:rPr>
                <w:rFonts w:eastAsia="Times New Roman" w:cs="Arial"/>
                <w:color w:val="auto"/>
                <w:sz w:val="20"/>
                <w:szCs w:val="20"/>
                <w:lang w:eastAsia="en-GB"/>
              </w:rPr>
              <w:t> </w:t>
            </w:r>
          </w:p>
        </w:tc>
      </w:tr>
      <w:tr w:rsidR="006E5B54" w14:paraId="663FD7EF" w14:textId="77777777" w:rsidTr="007A01F4">
        <w:trPr>
          <w:trHeight w:val="240"/>
        </w:trPr>
        <w:tc>
          <w:tcPr>
            <w:tcW w:w="2537" w:type="dxa"/>
            <w:tcBorders>
              <w:top w:val="nil"/>
              <w:left w:val="single" w:sz="6" w:space="0" w:color="auto"/>
              <w:bottom w:val="single" w:sz="6" w:space="0" w:color="auto"/>
              <w:right w:val="single" w:sz="6" w:space="0" w:color="auto"/>
            </w:tcBorders>
            <w:shd w:val="clear" w:color="auto" w:fill="D9D9D9"/>
            <w:vAlign w:val="center"/>
            <w:hideMark/>
          </w:tcPr>
          <w:p w14:paraId="668EF01C" w14:textId="77777777" w:rsidR="007A01F4" w:rsidRPr="007A01F4" w:rsidRDefault="00162F2E" w:rsidP="007A01F4">
            <w:pPr>
              <w:autoSpaceDE/>
              <w:autoSpaceDN/>
              <w:adjustRightInd/>
              <w:spacing w:after="0"/>
              <w:jc w:val="lef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Asset Management</w:t>
            </w:r>
            <w:r w:rsidRPr="007A01F4">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auto"/>
            <w:vAlign w:val="center"/>
            <w:hideMark/>
          </w:tcPr>
          <w:p w14:paraId="149E4D3F"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7.729 </w:t>
            </w:r>
          </w:p>
        </w:tc>
        <w:tc>
          <w:tcPr>
            <w:tcW w:w="1017" w:type="dxa"/>
            <w:tcBorders>
              <w:top w:val="nil"/>
              <w:left w:val="nil"/>
              <w:bottom w:val="single" w:sz="6" w:space="0" w:color="auto"/>
              <w:right w:val="single" w:sz="6" w:space="0" w:color="auto"/>
            </w:tcBorders>
            <w:shd w:val="clear" w:color="auto" w:fill="auto"/>
            <w:vAlign w:val="center"/>
            <w:hideMark/>
          </w:tcPr>
          <w:p w14:paraId="18063305"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12.771 </w:t>
            </w:r>
          </w:p>
        </w:tc>
        <w:tc>
          <w:tcPr>
            <w:tcW w:w="1027" w:type="dxa"/>
            <w:tcBorders>
              <w:top w:val="nil"/>
              <w:left w:val="nil"/>
              <w:bottom w:val="single" w:sz="6" w:space="0" w:color="auto"/>
              <w:right w:val="single" w:sz="6" w:space="0" w:color="auto"/>
            </w:tcBorders>
            <w:shd w:val="clear" w:color="auto" w:fill="D9D9D9"/>
            <w:vAlign w:val="center"/>
            <w:hideMark/>
          </w:tcPr>
          <w:p w14:paraId="40E00515"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5.042 </w:t>
            </w:r>
          </w:p>
        </w:tc>
        <w:tc>
          <w:tcPr>
            <w:tcW w:w="1027" w:type="dxa"/>
            <w:tcBorders>
              <w:top w:val="nil"/>
              <w:left w:val="nil"/>
              <w:bottom w:val="single" w:sz="6" w:space="0" w:color="auto"/>
              <w:right w:val="single" w:sz="6" w:space="0" w:color="auto"/>
            </w:tcBorders>
            <w:shd w:val="clear" w:color="auto" w:fill="auto"/>
            <w:vAlign w:val="center"/>
            <w:hideMark/>
          </w:tcPr>
          <w:p w14:paraId="6D2FCE4B"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65.23% </w:t>
            </w:r>
          </w:p>
        </w:tc>
        <w:tc>
          <w:tcPr>
            <w:tcW w:w="1004" w:type="dxa"/>
            <w:tcBorders>
              <w:top w:val="nil"/>
              <w:left w:val="nil"/>
              <w:bottom w:val="single" w:sz="6" w:space="0" w:color="auto"/>
              <w:right w:val="single" w:sz="6" w:space="0" w:color="auto"/>
            </w:tcBorders>
            <w:shd w:val="clear" w:color="auto" w:fill="D9D9D9"/>
            <w:vAlign w:val="center"/>
            <w:hideMark/>
          </w:tcPr>
          <w:p w14:paraId="5E0A0104"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color w:val="auto"/>
                <w:sz w:val="20"/>
                <w:szCs w:val="20"/>
                <w:lang w:eastAsia="en-GB"/>
              </w:rPr>
              <w:t>-0.315 </w:t>
            </w:r>
          </w:p>
        </w:tc>
        <w:tc>
          <w:tcPr>
            <w:tcW w:w="1270" w:type="dxa"/>
            <w:tcBorders>
              <w:top w:val="nil"/>
              <w:left w:val="single" w:sz="6" w:space="0" w:color="auto"/>
              <w:bottom w:val="single" w:sz="6" w:space="0" w:color="auto"/>
              <w:right w:val="single" w:sz="6" w:space="0" w:color="auto"/>
            </w:tcBorders>
            <w:shd w:val="clear" w:color="auto" w:fill="auto"/>
            <w:vAlign w:val="center"/>
            <w:hideMark/>
          </w:tcPr>
          <w:p w14:paraId="40D5D457"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color w:val="auto"/>
                <w:sz w:val="20"/>
                <w:szCs w:val="20"/>
                <w:lang w:eastAsia="en-GB"/>
              </w:rPr>
              <w:t>5.357 </w:t>
            </w:r>
          </w:p>
        </w:tc>
      </w:tr>
      <w:tr w:rsidR="006E5B54" w14:paraId="3907B2F8" w14:textId="77777777" w:rsidTr="007A01F4">
        <w:trPr>
          <w:trHeight w:val="240"/>
        </w:trPr>
        <w:tc>
          <w:tcPr>
            <w:tcW w:w="2537" w:type="dxa"/>
            <w:tcBorders>
              <w:top w:val="nil"/>
              <w:left w:val="single" w:sz="6" w:space="0" w:color="auto"/>
              <w:bottom w:val="single" w:sz="6" w:space="0" w:color="auto"/>
              <w:right w:val="single" w:sz="6" w:space="0" w:color="auto"/>
            </w:tcBorders>
            <w:shd w:val="clear" w:color="auto" w:fill="D9D9D9"/>
            <w:vAlign w:val="center"/>
            <w:hideMark/>
          </w:tcPr>
          <w:p w14:paraId="3A4BCCDB" w14:textId="77777777" w:rsidR="007A01F4" w:rsidRPr="007A01F4" w:rsidRDefault="00162F2E" w:rsidP="007A01F4">
            <w:pPr>
              <w:autoSpaceDE/>
              <w:autoSpaceDN/>
              <w:adjustRightInd/>
              <w:spacing w:after="0"/>
              <w:jc w:val="lef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Facilities Management</w:t>
            </w:r>
            <w:r w:rsidRPr="007A01F4">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auto"/>
            <w:vAlign w:val="center"/>
            <w:hideMark/>
          </w:tcPr>
          <w:p w14:paraId="08FED005"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21.695 </w:t>
            </w:r>
          </w:p>
        </w:tc>
        <w:tc>
          <w:tcPr>
            <w:tcW w:w="1017" w:type="dxa"/>
            <w:tcBorders>
              <w:top w:val="nil"/>
              <w:left w:val="nil"/>
              <w:bottom w:val="single" w:sz="6" w:space="0" w:color="auto"/>
              <w:right w:val="single" w:sz="6" w:space="0" w:color="auto"/>
            </w:tcBorders>
            <w:shd w:val="clear" w:color="auto" w:fill="auto"/>
            <w:vAlign w:val="center"/>
            <w:hideMark/>
          </w:tcPr>
          <w:p w14:paraId="327EF6DB"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25.039 </w:t>
            </w:r>
          </w:p>
        </w:tc>
        <w:tc>
          <w:tcPr>
            <w:tcW w:w="1027" w:type="dxa"/>
            <w:tcBorders>
              <w:top w:val="nil"/>
              <w:left w:val="nil"/>
              <w:bottom w:val="single" w:sz="6" w:space="0" w:color="auto"/>
              <w:right w:val="single" w:sz="6" w:space="0" w:color="auto"/>
            </w:tcBorders>
            <w:shd w:val="clear" w:color="auto" w:fill="D9D9D9"/>
            <w:vAlign w:val="center"/>
            <w:hideMark/>
          </w:tcPr>
          <w:p w14:paraId="4BD0FB63"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3.344 </w:t>
            </w:r>
          </w:p>
        </w:tc>
        <w:tc>
          <w:tcPr>
            <w:tcW w:w="1027" w:type="dxa"/>
            <w:tcBorders>
              <w:top w:val="nil"/>
              <w:left w:val="nil"/>
              <w:bottom w:val="single" w:sz="6" w:space="0" w:color="auto"/>
              <w:right w:val="single" w:sz="6" w:space="0" w:color="auto"/>
            </w:tcBorders>
            <w:shd w:val="clear" w:color="auto" w:fill="auto"/>
            <w:vAlign w:val="center"/>
            <w:hideMark/>
          </w:tcPr>
          <w:p w14:paraId="2B48D7E9"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15.41% </w:t>
            </w:r>
          </w:p>
        </w:tc>
        <w:tc>
          <w:tcPr>
            <w:tcW w:w="1004" w:type="dxa"/>
            <w:tcBorders>
              <w:top w:val="nil"/>
              <w:left w:val="nil"/>
              <w:bottom w:val="single" w:sz="6" w:space="0" w:color="auto"/>
              <w:right w:val="single" w:sz="6" w:space="0" w:color="auto"/>
            </w:tcBorders>
            <w:shd w:val="clear" w:color="auto" w:fill="D9D9D9"/>
            <w:vAlign w:val="center"/>
            <w:hideMark/>
          </w:tcPr>
          <w:p w14:paraId="248FE268"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color w:val="auto"/>
                <w:sz w:val="20"/>
                <w:szCs w:val="20"/>
                <w:lang w:eastAsia="en-GB"/>
              </w:rPr>
              <w:t>2.475 </w:t>
            </w:r>
          </w:p>
        </w:tc>
        <w:tc>
          <w:tcPr>
            <w:tcW w:w="1270" w:type="dxa"/>
            <w:tcBorders>
              <w:top w:val="nil"/>
              <w:left w:val="single" w:sz="6" w:space="0" w:color="auto"/>
              <w:bottom w:val="single" w:sz="6" w:space="0" w:color="auto"/>
              <w:right w:val="single" w:sz="6" w:space="0" w:color="auto"/>
            </w:tcBorders>
            <w:shd w:val="clear" w:color="auto" w:fill="auto"/>
            <w:vAlign w:val="center"/>
            <w:hideMark/>
          </w:tcPr>
          <w:p w14:paraId="3EED84AD"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color w:val="auto"/>
                <w:sz w:val="20"/>
                <w:szCs w:val="20"/>
                <w:lang w:eastAsia="en-GB"/>
              </w:rPr>
              <w:t>0.869 </w:t>
            </w:r>
          </w:p>
        </w:tc>
      </w:tr>
      <w:tr w:rsidR="006E5B54" w14:paraId="4C07BDBF" w14:textId="77777777" w:rsidTr="007A01F4">
        <w:trPr>
          <w:trHeight w:val="240"/>
        </w:trPr>
        <w:tc>
          <w:tcPr>
            <w:tcW w:w="2537" w:type="dxa"/>
            <w:tcBorders>
              <w:top w:val="nil"/>
              <w:left w:val="single" w:sz="6" w:space="0" w:color="auto"/>
              <w:bottom w:val="single" w:sz="6" w:space="0" w:color="auto"/>
              <w:right w:val="single" w:sz="6" w:space="0" w:color="auto"/>
            </w:tcBorders>
            <w:shd w:val="clear" w:color="auto" w:fill="D9D9D9"/>
            <w:vAlign w:val="center"/>
            <w:hideMark/>
          </w:tcPr>
          <w:p w14:paraId="7769B0ED" w14:textId="77777777" w:rsidR="007A01F4" w:rsidRPr="007A01F4" w:rsidRDefault="00162F2E" w:rsidP="007A01F4">
            <w:pPr>
              <w:autoSpaceDE/>
              <w:autoSpaceDN/>
              <w:adjustRightInd/>
              <w:spacing w:after="0"/>
              <w:jc w:val="lef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Business Intelligence</w:t>
            </w:r>
            <w:r w:rsidRPr="007A01F4">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auto"/>
            <w:vAlign w:val="center"/>
            <w:hideMark/>
          </w:tcPr>
          <w:p w14:paraId="2CB57653"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1.341 </w:t>
            </w:r>
          </w:p>
        </w:tc>
        <w:tc>
          <w:tcPr>
            <w:tcW w:w="1017" w:type="dxa"/>
            <w:tcBorders>
              <w:top w:val="nil"/>
              <w:left w:val="nil"/>
              <w:bottom w:val="single" w:sz="6" w:space="0" w:color="auto"/>
              <w:right w:val="single" w:sz="6" w:space="0" w:color="auto"/>
            </w:tcBorders>
            <w:shd w:val="clear" w:color="auto" w:fill="auto"/>
            <w:vAlign w:val="center"/>
            <w:hideMark/>
          </w:tcPr>
          <w:p w14:paraId="48891C4D"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1.334 </w:t>
            </w:r>
          </w:p>
        </w:tc>
        <w:tc>
          <w:tcPr>
            <w:tcW w:w="1027" w:type="dxa"/>
            <w:tcBorders>
              <w:top w:val="nil"/>
              <w:left w:val="nil"/>
              <w:bottom w:val="single" w:sz="6" w:space="0" w:color="auto"/>
              <w:right w:val="single" w:sz="6" w:space="0" w:color="auto"/>
            </w:tcBorders>
            <w:shd w:val="clear" w:color="auto" w:fill="D9D9D9"/>
            <w:vAlign w:val="center"/>
            <w:hideMark/>
          </w:tcPr>
          <w:p w14:paraId="4F0FA11F"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-0.007 </w:t>
            </w:r>
          </w:p>
        </w:tc>
        <w:tc>
          <w:tcPr>
            <w:tcW w:w="1027" w:type="dxa"/>
            <w:tcBorders>
              <w:top w:val="nil"/>
              <w:left w:val="nil"/>
              <w:bottom w:val="single" w:sz="6" w:space="0" w:color="auto"/>
              <w:right w:val="single" w:sz="6" w:space="0" w:color="auto"/>
            </w:tcBorders>
            <w:shd w:val="clear" w:color="auto" w:fill="auto"/>
            <w:vAlign w:val="center"/>
            <w:hideMark/>
          </w:tcPr>
          <w:p w14:paraId="25A4F25D"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-0.52% </w:t>
            </w:r>
          </w:p>
        </w:tc>
        <w:tc>
          <w:tcPr>
            <w:tcW w:w="1004" w:type="dxa"/>
            <w:tcBorders>
              <w:top w:val="nil"/>
              <w:left w:val="nil"/>
              <w:bottom w:val="single" w:sz="6" w:space="0" w:color="auto"/>
              <w:right w:val="single" w:sz="6" w:space="0" w:color="auto"/>
            </w:tcBorders>
            <w:shd w:val="clear" w:color="auto" w:fill="D9D9D9"/>
            <w:vAlign w:val="center"/>
            <w:hideMark/>
          </w:tcPr>
          <w:p w14:paraId="43F293EE"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color w:val="auto"/>
                <w:sz w:val="20"/>
                <w:szCs w:val="20"/>
                <w:lang w:eastAsia="en-GB"/>
              </w:rPr>
              <w:t>0.009 </w:t>
            </w:r>
          </w:p>
        </w:tc>
        <w:tc>
          <w:tcPr>
            <w:tcW w:w="1270" w:type="dxa"/>
            <w:tcBorders>
              <w:top w:val="nil"/>
              <w:left w:val="single" w:sz="6" w:space="0" w:color="auto"/>
              <w:bottom w:val="single" w:sz="6" w:space="0" w:color="auto"/>
              <w:right w:val="single" w:sz="6" w:space="0" w:color="auto"/>
            </w:tcBorders>
            <w:shd w:val="clear" w:color="auto" w:fill="auto"/>
            <w:vAlign w:val="center"/>
            <w:hideMark/>
          </w:tcPr>
          <w:p w14:paraId="4C21E980"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color w:val="auto"/>
                <w:sz w:val="20"/>
                <w:szCs w:val="20"/>
                <w:lang w:eastAsia="en-GB"/>
              </w:rPr>
              <w:t>-0.016 </w:t>
            </w:r>
          </w:p>
        </w:tc>
      </w:tr>
      <w:tr w:rsidR="006E5B54" w14:paraId="4B1E2FC2" w14:textId="77777777" w:rsidTr="007A01F4">
        <w:trPr>
          <w:trHeight w:val="240"/>
        </w:trPr>
        <w:tc>
          <w:tcPr>
            <w:tcW w:w="2537" w:type="dxa"/>
            <w:tcBorders>
              <w:top w:val="nil"/>
              <w:left w:val="single" w:sz="6" w:space="0" w:color="auto"/>
              <w:bottom w:val="single" w:sz="6" w:space="0" w:color="auto"/>
              <w:right w:val="single" w:sz="6" w:space="0" w:color="auto"/>
            </w:tcBorders>
            <w:shd w:val="clear" w:color="auto" w:fill="D9D9D9"/>
            <w:vAlign w:val="center"/>
            <w:hideMark/>
          </w:tcPr>
          <w:p w14:paraId="600737F4" w14:textId="77777777" w:rsidR="007A01F4" w:rsidRPr="007A01F4" w:rsidRDefault="00162F2E" w:rsidP="007A01F4">
            <w:pPr>
              <w:autoSpaceDE/>
              <w:autoSpaceDN/>
              <w:adjustRightInd/>
              <w:spacing w:after="0"/>
              <w:jc w:val="lef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Total</w:t>
            </w:r>
            <w:r w:rsidRPr="007A01F4">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0FFA773E"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30.765</w:t>
            </w:r>
            <w:r w:rsidRPr="007A01F4">
              <w:rPr>
                <w:rFonts w:eastAsia="Times New Roman" w:cs="Arial"/>
                <w:sz w:val="20"/>
                <w:szCs w:val="20"/>
                <w:lang w:eastAsia="en-GB"/>
              </w:rPr>
              <w:t> </w:t>
            </w:r>
          </w:p>
        </w:tc>
        <w:tc>
          <w:tcPr>
            <w:tcW w:w="1017" w:type="dxa"/>
            <w:tcBorders>
              <w:top w:val="nil"/>
              <w:left w:val="nil"/>
              <w:bottom w:val="single" w:sz="6" w:space="0" w:color="auto"/>
              <w:right w:val="single" w:sz="6" w:space="0" w:color="auto"/>
            </w:tcBorders>
            <w:shd w:val="clear" w:color="auto" w:fill="D9D9D9"/>
            <w:vAlign w:val="center"/>
            <w:hideMark/>
          </w:tcPr>
          <w:p w14:paraId="16BD32B5"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39.144</w:t>
            </w:r>
            <w:r w:rsidRPr="007A01F4">
              <w:rPr>
                <w:rFonts w:eastAsia="Times New Roman" w:cs="Arial"/>
                <w:sz w:val="20"/>
                <w:szCs w:val="20"/>
                <w:lang w:eastAsia="en-GB"/>
              </w:rPr>
              <w:t> </w:t>
            </w:r>
          </w:p>
        </w:tc>
        <w:tc>
          <w:tcPr>
            <w:tcW w:w="1027" w:type="dxa"/>
            <w:tcBorders>
              <w:top w:val="nil"/>
              <w:left w:val="nil"/>
              <w:bottom w:val="single" w:sz="6" w:space="0" w:color="auto"/>
              <w:right w:val="single" w:sz="6" w:space="0" w:color="auto"/>
            </w:tcBorders>
            <w:shd w:val="clear" w:color="auto" w:fill="D9D9D9"/>
            <w:vAlign w:val="center"/>
            <w:hideMark/>
          </w:tcPr>
          <w:p w14:paraId="734F1188"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8.379</w:t>
            </w:r>
            <w:r w:rsidRPr="007A01F4">
              <w:rPr>
                <w:rFonts w:eastAsia="Times New Roman" w:cs="Arial"/>
                <w:sz w:val="20"/>
                <w:szCs w:val="20"/>
                <w:lang w:eastAsia="en-GB"/>
              </w:rPr>
              <w:t> </w:t>
            </w:r>
          </w:p>
        </w:tc>
        <w:tc>
          <w:tcPr>
            <w:tcW w:w="1027" w:type="dxa"/>
            <w:tcBorders>
              <w:top w:val="nil"/>
              <w:left w:val="nil"/>
              <w:bottom w:val="single" w:sz="6" w:space="0" w:color="auto"/>
              <w:right w:val="single" w:sz="6" w:space="0" w:color="auto"/>
            </w:tcBorders>
            <w:shd w:val="clear" w:color="auto" w:fill="D9D9D9"/>
            <w:vAlign w:val="center"/>
            <w:hideMark/>
          </w:tcPr>
          <w:p w14:paraId="3B608F0F"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27.24%</w:t>
            </w:r>
            <w:r w:rsidRPr="007A01F4">
              <w:rPr>
                <w:rFonts w:eastAsia="Times New Roman" w:cs="Arial"/>
                <w:sz w:val="20"/>
                <w:szCs w:val="20"/>
                <w:lang w:eastAsia="en-GB"/>
              </w:rPr>
              <w:t> </w:t>
            </w:r>
          </w:p>
        </w:tc>
        <w:tc>
          <w:tcPr>
            <w:tcW w:w="1004" w:type="dxa"/>
            <w:tcBorders>
              <w:top w:val="nil"/>
              <w:left w:val="nil"/>
              <w:bottom w:val="single" w:sz="6" w:space="0" w:color="auto"/>
              <w:right w:val="single" w:sz="6" w:space="0" w:color="auto"/>
            </w:tcBorders>
            <w:shd w:val="clear" w:color="auto" w:fill="D9D9D9"/>
            <w:vAlign w:val="center"/>
            <w:hideMark/>
          </w:tcPr>
          <w:p w14:paraId="025D07A6"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color w:val="auto"/>
                <w:sz w:val="20"/>
                <w:szCs w:val="20"/>
                <w:lang w:eastAsia="en-GB"/>
              </w:rPr>
              <w:t>2.169</w:t>
            </w:r>
            <w:r w:rsidRPr="007A01F4">
              <w:rPr>
                <w:rFonts w:eastAsia="Times New Roman" w:cs="Arial"/>
                <w:color w:val="auto"/>
                <w:sz w:val="20"/>
                <w:szCs w:val="20"/>
                <w:lang w:eastAsia="en-GB"/>
              </w:rPr>
              <w:t> </w:t>
            </w:r>
          </w:p>
        </w:tc>
        <w:tc>
          <w:tcPr>
            <w:tcW w:w="1270" w:type="dxa"/>
            <w:tcBorders>
              <w:top w:val="nil"/>
              <w:left w:val="single" w:sz="6" w:space="0" w:color="auto"/>
              <w:bottom w:val="single" w:sz="6" w:space="0" w:color="auto"/>
              <w:right w:val="single" w:sz="6" w:space="0" w:color="auto"/>
            </w:tcBorders>
            <w:shd w:val="clear" w:color="auto" w:fill="D9D9D9"/>
            <w:vAlign w:val="center"/>
            <w:hideMark/>
          </w:tcPr>
          <w:p w14:paraId="45FB0C93"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color w:val="auto"/>
                <w:sz w:val="20"/>
                <w:szCs w:val="20"/>
                <w:lang w:eastAsia="en-GB"/>
              </w:rPr>
              <w:t>6.210</w:t>
            </w:r>
            <w:r w:rsidRPr="007A01F4">
              <w:rPr>
                <w:rFonts w:eastAsia="Times New Roman" w:cs="Arial"/>
                <w:color w:val="auto"/>
                <w:sz w:val="20"/>
                <w:szCs w:val="20"/>
                <w:lang w:eastAsia="en-GB"/>
              </w:rPr>
              <w:t> </w:t>
            </w:r>
          </w:p>
        </w:tc>
      </w:tr>
      <w:tr w:rsidR="006E5B54" w14:paraId="607D725C" w14:textId="77777777" w:rsidTr="007A01F4">
        <w:trPr>
          <w:trHeight w:val="405"/>
        </w:trPr>
        <w:tc>
          <w:tcPr>
            <w:tcW w:w="2537" w:type="dxa"/>
            <w:tcBorders>
              <w:top w:val="nil"/>
              <w:left w:val="single" w:sz="6" w:space="0" w:color="auto"/>
              <w:bottom w:val="single" w:sz="6" w:space="0" w:color="auto"/>
              <w:right w:val="single" w:sz="6" w:space="0" w:color="auto"/>
            </w:tcBorders>
            <w:shd w:val="clear" w:color="auto" w:fill="D9D9D9"/>
            <w:vAlign w:val="center"/>
            <w:hideMark/>
          </w:tcPr>
          <w:p w14:paraId="601AF37A" w14:textId="77777777" w:rsidR="007A01F4" w:rsidRPr="007A01F4" w:rsidRDefault="00162F2E" w:rsidP="007A01F4">
            <w:pPr>
              <w:autoSpaceDE/>
              <w:autoSpaceDN/>
              <w:adjustRightInd/>
              <w:spacing w:after="0"/>
              <w:jc w:val="lef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 xml:space="preserve">Share of unallocated </w:t>
            </w:r>
            <w:r w:rsidR="0026517A">
              <w:rPr>
                <w:rFonts w:eastAsia="Times New Roman" w:cs="Arial"/>
                <w:b/>
                <w:bCs/>
                <w:sz w:val="20"/>
                <w:szCs w:val="20"/>
                <w:lang w:eastAsia="en-GB"/>
              </w:rPr>
              <w:t>C</w:t>
            </w:r>
            <w:r w:rsidR="00D80827">
              <w:rPr>
                <w:rFonts w:eastAsia="Times New Roman" w:cs="Arial"/>
                <w:b/>
                <w:bCs/>
                <w:sz w:val="20"/>
                <w:szCs w:val="20"/>
                <w:lang w:eastAsia="en-GB"/>
              </w:rPr>
              <w:t>ovid</w:t>
            </w:r>
            <w:r w:rsidRPr="007A01F4">
              <w:rPr>
                <w:rFonts w:eastAsia="Times New Roman" w:cs="Arial"/>
                <w:b/>
                <w:bCs/>
                <w:sz w:val="20"/>
                <w:szCs w:val="20"/>
                <w:lang w:eastAsia="en-GB"/>
              </w:rPr>
              <w:t>-19 emergency monies</w:t>
            </w:r>
            <w:r w:rsidRPr="007A01F4">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auto"/>
            <w:vAlign w:val="center"/>
            <w:hideMark/>
          </w:tcPr>
          <w:p w14:paraId="04FB6C89"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0.864 </w:t>
            </w:r>
          </w:p>
        </w:tc>
        <w:tc>
          <w:tcPr>
            <w:tcW w:w="1017" w:type="dxa"/>
            <w:tcBorders>
              <w:top w:val="nil"/>
              <w:left w:val="nil"/>
              <w:bottom w:val="single" w:sz="6" w:space="0" w:color="auto"/>
              <w:right w:val="single" w:sz="6" w:space="0" w:color="auto"/>
            </w:tcBorders>
            <w:shd w:val="clear" w:color="auto" w:fill="auto"/>
            <w:vAlign w:val="center"/>
            <w:hideMark/>
          </w:tcPr>
          <w:p w14:paraId="3C7F75BF"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0.000 </w:t>
            </w:r>
          </w:p>
        </w:tc>
        <w:tc>
          <w:tcPr>
            <w:tcW w:w="1027" w:type="dxa"/>
            <w:tcBorders>
              <w:top w:val="nil"/>
              <w:left w:val="nil"/>
              <w:bottom w:val="single" w:sz="6" w:space="0" w:color="auto"/>
              <w:right w:val="single" w:sz="6" w:space="0" w:color="auto"/>
            </w:tcBorders>
            <w:shd w:val="clear" w:color="auto" w:fill="D9D9D9"/>
            <w:vAlign w:val="center"/>
            <w:hideMark/>
          </w:tcPr>
          <w:p w14:paraId="00D50026"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-0.864 </w:t>
            </w:r>
          </w:p>
        </w:tc>
        <w:tc>
          <w:tcPr>
            <w:tcW w:w="1027" w:type="dxa"/>
            <w:tcBorders>
              <w:top w:val="nil"/>
              <w:left w:val="nil"/>
              <w:bottom w:val="single" w:sz="6" w:space="0" w:color="auto"/>
              <w:right w:val="single" w:sz="6" w:space="0" w:color="auto"/>
            </w:tcBorders>
            <w:shd w:val="clear" w:color="auto" w:fill="auto"/>
            <w:vAlign w:val="center"/>
            <w:hideMark/>
          </w:tcPr>
          <w:p w14:paraId="06736A87"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sz w:val="20"/>
                <w:szCs w:val="20"/>
                <w:lang w:eastAsia="en-GB"/>
              </w:rPr>
              <w:t>  </w:t>
            </w:r>
          </w:p>
        </w:tc>
        <w:tc>
          <w:tcPr>
            <w:tcW w:w="1004" w:type="dxa"/>
            <w:tcBorders>
              <w:top w:val="nil"/>
              <w:left w:val="nil"/>
              <w:bottom w:val="single" w:sz="6" w:space="0" w:color="auto"/>
              <w:right w:val="single" w:sz="6" w:space="0" w:color="auto"/>
            </w:tcBorders>
            <w:shd w:val="clear" w:color="auto" w:fill="D9D9D9"/>
            <w:vAlign w:val="center"/>
            <w:hideMark/>
          </w:tcPr>
          <w:p w14:paraId="14CA83C8"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color w:val="auto"/>
                <w:sz w:val="20"/>
                <w:szCs w:val="20"/>
                <w:lang w:eastAsia="en-GB"/>
              </w:rPr>
              <w:t>-0.864 </w:t>
            </w:r>
          </w:p>
        </w:tc>
        <w:tc>
          <w:tcPr>
            <w:tcW w:w="1270" w:type="dxa"/>
            <w:tcBorders>
              <w:top w:val="nil"/>
              <w:left w:val="single" w:sz="6" w:space="0" w:color="auto"/>
              <w:bottom w:val="single" w:sz="6" w:space="0" w:color="auto"/>
              <w:right w:val="single" w:sz="6" w:space="0" w:color="auto"/>
            </w:tcBorders>
            <w:shd w:val="clear" w:color="auto" w:fill="auto"/>
            <w:vAlign w:val="center"/>
            <w:hideMark/>
          </w:tcPr>
          <w:p w14:paraId="382E3A40"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color w:val="auto"/>
                <w:sz w:val="20"/>
                <w:szCs w:val="20"/>
                <w:lang w:eastAsia="en-GB"/>
              </w:rPr>
              <w:t>0.000 </w:t>
            </w:r>
          </w:p>
        </w:tc>
      </w:tr>
      <w:tr w:rsidR="006E5B54" w14:paraId="11C61F44" w14:textId="77777777" w:rsidTr="007A01F4">
        <w:trPr>
          <w:trHeight w:val="240"/>
        </w:trPr>
        <w:tc>
          <w:tcPr>
            <w:tcW w:w="2537" w:type="dxa"/>
            <w:tcBorders>
              <w:top w:val="nil"/>
              <w:left w:val="single" w:sz="6" w:space="0" w:color="auto"/>
              <w:bottom w:val="single" w:sz="6" w:space="0" w:color="auto"/>
              <w:right w:val="single" w:sz="6" w:space="0" w:color="auto"/>
            </w:tcBorders>
            <w:shd w:val="clear" w:color="auto" w:fill="D9D9D9"/>
            <w:vAlign w:val="center"/>
            <w:hideMark/>
          </w:tcPr>
          <w:p w14:paraId="47991FEB" w14:textId="77777777" w:rsidR="007A01F4" w:rsidRPr="007A01F4" w:rsidRDefault="00162F2E" w:rsidP="007A01F4">
            <w:pPr>
              <w:autoSpaceDE/>
              <w:autoSpaceDN/>
              <w:adjustRightInd/>
              <w:spacing w:after="0"/>
              <w:jc w:val="lef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Total Strategy and Performance</w:t>
            </w:r>
            <w:r w:rsidRPr="007A01F4">
              <w:rPr>
                <w:rFonts w:eastAsia="Times New Roman" w:cs="Arial"/>
                <w:sz w:val="20"/>
                <w:szCs w:val="20"/>
                <w:lang w:eastAsia="en-GB"/>
              </w:rPr>
              <w:t> </w:t>
            </w:r>
          </w:p>
        </w:tc>
        <w:tc>
          <w:tcPr>
            <w:tcW w:w="1095" w:type="dxa"/>
            <w:tcBorders>
              <w:top w:val="nil"/>
              <w:left w:val="nil"/>
              <w:bottom w:val="single" w:sz="6" w:space="0" w:color="auto"/>
              <w:right w:val="single" w:sz="6" w:space="0" w:color="auto"/>
            </w:tcBorders>
            <w:shd w:val="clear" w:color="auto" w:fill="D9D9D9"/>
            <w:vAlign w:val="center"/>
            <w:hideMark/>
          </w:tcPr>
          <w:p w14:paraId="586A54CF"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31.629</w:t>
            </w:r>
            <w:r w:rsidRPr="007A01F4">
              <w:rPr>
                <w:rFonts w:eastAsia="Times New Roman" w:cs="Arial"/>
                <w:sz w:val="20"/>
                <w:szCs w:val="20"/>
                <w:lang w:eastAsia="en-GB"/>
              </w:rPr>
              <w:t> </w:t>
            </w:r>
          </w:p>
        </w:tc>
        <w:tc>
          <w:tcPr>
            <w:tcW w:w="1017" w:type="dxa"/>
            <w:tcBorders>
              <w:top w:val="nil"/>
              <w:left w:val="nil"/>
              <w:bottom w:val="single" w:sz="6" w:space="0" w:color="auto"/>
              <w:right w:val="single" w:sz="6" w:space="0" w:color="auto"/>
            </w:tcBorders>
            <w:shd w:val="clear" w:color="auto" w:fill="D9D9D9"/>
            <w:vAlign w:val="center"/>
            <w:hideMark/>
          </w:tcPr>
          <w:p w14:paraId="02446C42"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39.144</w:t>
            </w:r>
            <w:r w:rsidRPr="007A01F4">
              <w:rPr>
                <w:rFonts w:eastAsia="Times New Roman" w:cs="Arial"/>
                <w:sz w:val="20"/>
                <w:szCs w:val="20"/>
                <w:lang w:eastAsia="en-GB"/>
              </w:rPr>
              <w:t> </w:t>
            </w:r>
          </w:p>
        </w:tc>
        <w:tc>
          <w:tcPr>
            <w:tcW w:w="1027" w:type="dxa"/>
            <w:tcBorders>
              <w:top w:val="nil"/>
              <w:left w:val="nil"/>
              <w:bottom w:val="single" w:sz="6" w:space="0" w:color="auto"/>
              <w:right w:val="single" w:sz="6" w:space="0" w:color="auto"/>
            </w:tcBorders>
            <w:shd w:val="clear" w:color="auto" w:fill="D9D9D9"/>
            <w:vAlign w:val="center"/>
            <w:hideMark/>
          </w:tcPr>
          <w:p w14:paraId="15F9D867"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7.515</w:t>
            </w:r>
            <w:r w:rsidRPr="007A01F4">
              <w:rPr>
                <w:rFonts w:eastAsia="Times New Roman" w:cs="Arial"/>
                <w:sz w:val="20"/>
                <w:szCs w:val="20"/>
                <w:lang w:eastAsia="en-GB"/>
              </w:rPr>
              <w:t> </w:t>
            </w:r>
          </w:p>
        </w:tc>
        <w:tc>
          <w:tcPr>
            <w:tcW w:w="1027" w:type="dxa"/>
            <w:tcBorders>
              <w:top w:val="nil"/>
              <w:left w:val="nil"/>
              <w:bottom w:val="single" w:sz="6" w:space="0" w:color="auto"/>
              <w:right w:val="single" w:sz="6" w:space="0" w:color="auto"/>
            </w:tcBorders>
            <w:shd w:val="clear" w:color="auto" w:fill="D9D9D9"/>
            <w:vAlign w:val="center"/>
            <w:hideMark/>
          </w:tcPr>
          <w:p w14:paraId="2CEF9248"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sz w:val="20"/>
                <w:szCs w:val="20"/>
                <w:lang w:eastAsia="en-GB"/>
              </w:rPr>
              <w:t>23.76%</w:t>
            </w:r>
            <w:r w:rsidRPr="007A01F4">
              <w:rPr>
                <w:rFonts w:eastAsia="Times New Roman" w:cs="Arial"/>
                <w:sz w:val="20"/>
                <w:szCs w:val="20"/>
                <w:lang w:eastAsia="en-GB"/>
              </w:rPr>
              <w:t> </w:t>
            </w:r>
          </w:p>
        </w:tc>
        <w:tc>
          <w:tcPr>
            <w:tcW w:w="1004" w:type="dxa"/>
            <w:tcBorders>
              <w:top w:val="nil"/>
              <w:left w:val="nil"/>
              <w:bottom w:val="single" w:sz="6" w:space="0" w:color="auto"/>
              <w:right w:val="single" w:sz="6" w:space="0" w:color="auto"/>
            </w:tcBorders>
            <w:shd w:val="clear" w:color="auto" w:fill="D9D9D9"/>
            <w:vAlign w:val="center"/>
            <w:hideMark/>
          </w:tcPr>
          <w:p w14:paraId="7DCB9ABC"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color w:val="auto"/>
                <w:sz w:val="20"/>
                <w:szCs w:val="20"/>
                <w:lang w:eastAsia="en-GB"/>
              </w:rPr>
              <w:t>1.305</w:t>
            </w:r>
            <w:r w:rsidRPr="007A01F4">
              <w:rPr>
                <w:rFonts w:eastAsia="Times New Roman" w:cs="Arial"/>
                <w:color w:val="auto"/>
                <w:sz w:val="20"/>
                <w:szCs w:val="20"/>
                <w:lang w:eastAsia="en-GB"/>
              </w:rPr>
              <w:t> </w:t>
            </w:r>
          </w:p>
        </w:tc>
        <w:tc>
          <w:tcPr>
            <w:tcW w:w="1270" w:type="dxa"/>
            <w:tcBorders>
              <w:top w:val="nil"/>
              <w:left w:val="single" w:sz="6" w:space="0" w:color="auto"/>
              <w:bottom w:val="single" w:sz="6" w:space="0" w:color="auto"/>
              <w:right w:val="single" w:sz="6" w:space="0" w:color="auto"/>
            </w:tcBorders>
            <w:shd w:val="clear" w:color="auto" w:fill="D9D9D9"/>
            <w:vAlign w:val="center"/>
            <w:hideMark/>
          </w:tcPr>
          <w:p w14:paraId="06FC228D" w14:textId="77777777" w:rsidR="007A01F4" w:rsidRPr="007A01F4" w:rsidRDefault="00162F2E" w:rsidP="007A01F4">
            <w:pPr>
              <w:autoSpaceDE/>
              <w:autoSpaceDN/>
              <w:adjustRightInd/>
              <w:spacing w:after="0"/>
              <w:jc w:val="right"/>
              <w:textAlignment w:val="baseline"/>
              <w:rPr>
                <w:rFonts w:ascii="Times New Roman" w:eastAsia="Times New Roman" w:hAnsi="Times New Roman" w:cs="Times New Roman"/>
                <w:color w:val="auto"/>
                <w:lang w:eastAsia="en-GB"/>
              </w:rPr>
            </w:pPr>
            <w:r w:rsidRPr="007A01F4">
              <w:rPr>
                <w:rFonts w:eastAsia="Times New Roman" w:cs="Arial"/>
                <w:b/>
                <w:bCs/>
                <w:color w:val="auto"/>
                <w:sz w:val="20"/>
                <w:szCs w:val="20"/>
                <w:lang w:eastAsia="en-GB"/>
              </w:rPr>
              <w:t>6.210</w:t>
            </w:r>
            <w:r w:rsidRPr="007A01F4">
              <w:rPr>
                <w:rFonts w:eastAsia="Times New Roman" w:cs="Arial"/>
                <w:color w:val="auto"/>
                <w:sz w:val="20"/>
                <w:szCs w:val="20"/>
                <w:lang w:eastAsia="en-GB"/>
              </w:rPr>
              <w:t> </w:t>
            </w:r>
          </w:p>
        </w:tc>
      </w:tr>
    </w:tbl>
    <w:p w14:paraId="78AA3556" w14:textId="77777777" w:rsidR="007A01F4" w:rsidRPr="007A01F4" w:rsidRDefault="00162F2E" w:rsidP="007A01F4">
      <w:pPr>
        <w:autoSpaceDE/>
        <w:autoSpaceDN/>
        <w:adjustRightInd/>
        <w:spacing w:after="0"/>
        <w:ind w:left="-855"/>
        <w:jc w:val="left"/>
        <w:textAlignment w:val="baseline"/>
        <w:rPr>
          <w:rFonts w:ascii="Segoe UI" w:eastAsia="Times New Roman" w:hAnsi="Segoe UI" w:cs="Segoe UI"/>
          <w:color w:val="auto"/>
          <w:sz w:val="18"/>
          <w:szCs w:val="18"/>
          <w:lang w:eastAsia="en-GB"/>
        </w:rPr>
      </w:pPr>
      <w:r w:rsidRPr="007A01F4">
        <w:rPr>
          <w:rFonts w:eastAsia="Times New Roman" w:cs="Arial"/>
          <w:color w:val="auto"/>
          <w:sz w:val="22"/>
          <w:szCs w:val="22"/>
          <w:lang w:eastAsia="en-GB"/>
        </w:rPr>
        <w:t> </w:t>
      </w:r>
    </w:p>
    <w:p w14:paraId="34CD28F1"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b/>
          <w:bCs/>
          <w:color w:val="auto"/>
          <w:lang w:eastAsia="en-GB"/>
        </w:rPr>
        <w:t>Overview</w:t>
      </w:r>
      <w:r w:rsidRPr="007A01F4">
        <w:rPr>
          <w:rFonts w:eastAsia="Times New Roman" w:cs="Arial"/>
          <w:color w:val="auto"/>
          <w:lang w:eastAsia="en-GB"/>
        </w:rPr>
        <w:t> </w:t>
      </w:r>
    </w:p>
    <w:p w14:paraId="3DA87367"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026005B2" w14:textId="77777777" w:rsidR="007A01F4" w:rsidRPr="007A01F4" w:rsidRDefault="00162F2E" w:rsidP="0069446A">
      <w:pPr>
        <w:autoSpaceDE/>
        <w:autoSpaceDN/>
        <w:adjustRightInd/>
        <w:spacing w:after="0"/>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xml:space="preserve">The total net approved budget for Strategy and Performance in 2021/22 is £31.629m including a £864,000 allocation for </w:t>
      </w:r>
      <w:r w:rsidR="0026517A">
        <w:rPr>
          <w:rFonts w:eastAsia="Times New Roman" w:cs="Arial"/>
          <w:color w:val="auto"/>
          <w:lang w:eastAsia="en-GB"/>
        </w:rPr>
        <w:t>C</w:t>
      </w:r>
      <w:r w:rsidR="00D80827">
        <w:rPr>
          <w:rFonts w:eastAsia="Times New Roman" w:cs="Arial"/>
          <w:color w:val="auto"/>
          <w:lang w:eastAsia="en-GB"/>
        </w:rPr>
        <w:t>ovid</w:t>
      </w:r>
      <w:r w:rsidRPr="007A01F4">
        <w:rPr>
          <w:rFonts w:eastAsia="Times New Roman" w:cs="Arial"/>
          <w:color w:val="auto"/>
          <w:lang w:eastAsia="en-GB"/>
        </w:rPr>
        <w:t>-19 for the first 3 months of 2021/22.   </w:t>
      </w:r>
    </w:p>
    <w:p w14:paraId="38C737E2"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4DB7B81D" w14:textId="77777777" w:rsidR="007A01F4" w:rsidRPr="007A01F4" w:rsidRDefault="00162F2E" w:rsidP="0069446A">
      <w:pPr>
        <w:autoSpaceDE/>
        <w:autoSpaceDN/>
        <w:adjustRightInd/>
        <w:spacing w:after="0"/>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The outturn position is an overspend of £7.515m although this predominantly relates to strategic decisions based on the overall authority position which are detailed in the service narratives below. </w:t>
      </w:r>
    </w:p>
    <w:p w14:paraId="1C1F074E"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6D67FBD9"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b/>
          <w:bCs/>
          <w:color w:val="auto"/>
          <w:lang w:eastAsia="en-GB"/>
        </w:rPr>
        <w:t>Asset Management – Overspend £5.042m</w:t>
      </w:r>
      <w:r w:rsidRPr="007A01F4">
        <w:rPr>
          <w:rFonts w:eastAsia="Times New Roman" w:cs="Arial"/>
          <w:color w:val="auto"/>
          <w:lang w:eastAsia="en-GB"/>
        </w:rPr>
        <w:t> </w:t>
      </w:r>
    </w:p>
    <w:p w14:paraId="49359CBB"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28CA972A" w14:textId="77777777" w:rsidR="007A01F4" w:rsidRPr="007A01F4" w:rsidRDefault="00162F2E" w:rsidP="0069446A">
      <w:pPr>
        <w:autoSpaceDE/>
        <w:autoSpaceDN/>
        <w:adjustRightInd/>
        <w:spacing w:after="0"/>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xml:space="preserve">The position predominantly relates to strategic decisions which have been made based of the overall authority position for 2021/22. The most significant being a transfer to reserves of £4.972m to cover future repayments of the Salix loan for LED replacements. In the MTFS it was assumed that all future repayments would be made from the revenue budget, that will remain the case in 2022/23 as that </w:t>
      </w:r>
      <w:r w:rsidRPr="007A01F4">
        <w:rPr>
          <w:rFonts w:eastAsia="Times New Roman" w:cs="Arial"/>
          <w:color w:val="auto"/>
          <w:lang w:eastAsia="en-GB"/>
        </w:rPr>
        <w:lastRenderedPageBreak/>
        <w:t>amount is already included in the 2022/23 budget. Repayments beyond 2022/23 will be covered by this reserve transfer and the MTFS will be adjusted accordingly when next updated</w:t>
      </w:r>
      <w:r w:rsidR="007272EA">
        <w:rPr>
          <w:rFonts w:eastAsia="Times New Roman" w:cs="Arial"/>
          <w:color w:val="auto"/>
          <w:lang w:eastAsia="en-GB"/>
        </w:rPr>
        <w:t xml:space="preserve"> reducing the forecast funding gap in 2023/24 and future years</w:t>
      </w:r>
      <w:r w:rsidRPr="007A01F4">
        <w:rPr>
          <w:rFonts w:eastAsia="Times New Roman" w:cs="Arial"/>
          <w:color w:val="auto"/>
          <w:lang w:eastAsia="en-GB"/>
        </w:rPr>
        <w:t>.  </w:t>
      </w:r>
    </w:p>
    <w:p w14:paraId="7F15E8F1"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069658B8" w14:textId="77777777" w:rsidR="007A01F4" w:rsidRPr="007A01F4" w:rsidRDefault="00162F2E" w:rsidP="0069446A">
      <w:pPr>
        <w:autoSpaceDE/>
        <w:autoSpaceDN/>
        <w:adjustRightInd/>
        <w:spacing w:after="0"/>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Due to recent increases in street lighting energy prices and future uncertainty a provision has been made for £366,000 to help cover this risk in 2022/23. Inflation is already added to the budget, but prices are volatile, so it is prudent to mitigate this risk with a provision.  </w:t>
      </w:r>
    </w:p>
    <w:p w14:paraId="50D6455D" w14:textId="77777777" w:rsidR="007A01F4" w:rsidRPr="007A01F4" w:rsidRDefault="00162F2E" w:rsidP="007A01F4">
      <w:pPr>
        <w:autoSpaceDE/>
        <w:autoSpaceDN/>
        <w:adjustRightInd/>
        <w:spacing w:after="0"/>
        <w:ind w:left="-855"/>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472FD54E"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Staffing underspends of £320,000 due to delays in recruiting to budgeted posts is partly offsetting the position.  </w:t>
      </w:r>
    </w:p>
    <w:p w14:paraId="1116E6FB"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36A7F643"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The position has worsened by £5.357m compared to quarter 3 due to the decisions detailed above. </w:t>
      </w:r>
    </w:p>
    <w:p w14:paraId="649F4254"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4CC07020"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b/>
          <w:bCs/>
          <w:color w:val="auto"/>
          <w:lang w:eastAsia="en-GB"/>
        </w:rPr>
        <w:t>Facilities Management - Overspend £3.344m</w:t>
      </w:r>
      <w:r w:rsidRPr="007A01F4">
        <w:rPr>
          <w:rFonts w:eastAsia="Times New Roman" w:cs="Arial"/>
          <w:color w:val="auto"/>
          <w:lang w:eastAsia="en-GB"/>
        </w:rPr>
        <w:t> </w:t>
      </w:r>
    </w:p>
    <w:p w14:paraId="0D9A4CC7" w14:textId="77777777" w:rsidR="007A01F4" w:rsidRPr="007A01F4" w:rsidRDefault="00162F2E" w:rsidP="00D257BA">
      <w:pPr>
        <w:autoSpaceDE/>
        <w:autoSpaceDN/>
        <w:adjustRightInd/>
        <w:spacing w:after="0"/>
        <w:jc w:val="left"/>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738016E7" w14:textId="77777777" w:rsidR="007A01F4" w:rsidRPr="007A01F4" w:rsidRDefault="00162F2E" w:rsidP="00D257BA">
      <w:pPr>
        <w:autoSpaceDE/>
        <w:autoSpaceDN/>
        <w:adjustRightInd/>
        <w:spacing w:after="0"/>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xml:space="preserve">The issues that affected the forecast for facilities management in 2020/21 remain to some extent in 2021/22 as do the uncertainties that </w:t>
      </w:r>
      <w:r w:rsidR="0026517A">
        <w:rPr>
          <w:rFonts w:eastAsia="Times New Roman" w:cs="Arial"/>
          <w:color w:val="auto"/>
          <w:lang w:eastAsia="en-GB"/>
        </w:rPr>
        <w:t>Covid</w:t>
      </w:r>
      <w:r w:rsidRPr="007A01F4">
        <w:rPr>
          <w:rFonts w:eastAsia="Times New Roman" w:cs="Arial"/>
          <w:color w:val="auto"/>
          <w:lang w:eastAsia="en-GB"/>
        </w:rPr>
        <w:t>-19 has brought. The significant variances are detailed below: </w:t>
      </w:r>
    </w:p>
    <w:p w14:paraId="13FB86FE" w14:textId="77777777" w:rsidR="007A01F4" w:rsidRPr="007A01F4" w:rsidRDefault="00162F2E" w:rsidP="00D257BA">
      <w:pPr>
        <w:autoSpaceDE/>
        <w:autoSpaceDN/>
        <w:adjustRightInd/>
        <w:spacing w:after="0"/>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3376877B" w14:textId="77777777" w:rsidR="007A01F4" w:rsidRPr="007A01F4" w:rsidRDefault="00162F2E" w:rsidP="0069446A">
      <w:pPr>
        <w:numPr>
          <w:ilvl w:val="0"/>
          <w:numId w:val="38"/>
        </w:numPr>
        <w:tabs>
          <w:tab w:val="clear" w:pos="720"/>
          <w:tab w:val="num" w:pos="567"/>
        </w:tabs>
        <w:autoSpaceDE/>
        <w:autoSpaceDN/>
        <w:adjustRightInd/>
        <w:spacing w:after="0"/>
        <w:ind w:left="567" w:hanging="342"/>
        <w:textAlignment w:val="baseline"/>
        <w:rPr>
          <w:rFonts w:eastAsia="Times New Roman" w:cs="Arial"/>
          <w:color w:val="auto"/>
          <w:lang w:eastAsia="en-GB"/>
        </w:rPr>
      </w:pPr>
      <w:r w:rsidRPr="007A01F4">
        <w:rPr>
          <w:rFonts w:eastAsia="Times New Roman" w:cs="Arial"/>
          <w:color w:val="auto"/>
          <w:lang w:eastAsia="en-GB"/>
        </w:rPr>
        <w:t>School catering overspent by £2.861m which relates to lower income charges to schools. There has been fluctuation across the year but broadly speaking income levels have been approximately 10% lower than pre-pandemic. In addition, the service has faced increases in food costs.   </w:t>
      </w:r>
    </w:p>
    <w:p w14:paraId="65383EEA" w14:textId="77777777" w:rsidR="007A01F4" w:rsidRPr="007A01F4" w:rsidRDefault="00162F2E" w:rsidP="007272EA">
      <w:pPr>
        <w:numPr>
          <w:ilvl w:val="0"/>
          <w:numId w:val="38"/>
        </w:numPr>
        <w:autoSpaceDE/>
        <w:autoSpaceDN/>
        <w:adjustRightInd/>
        <w:spacing w:after="0"/>
        <w:ind w:left="567" w:hanging="342"/>
        <w:textAlignment w:val="baseline"/>
        <w:rPr>
          <w:rFonts w:eastAsia="Times New Roman" w:cs="Arial"/>
          <w:color w:val="auto"/>
          <w:lang w:eastAsia="en-GB"/>
        </w:rPr>
      </w:pPr>
      <w:r w:rsidRPr="007A01F4">
        <w:rPr>
          <w:rFonts w:eastAsia="Times New Roman" w:cs="Arial"/>
          <w:color w:val="auto"/>
          <w:lang w:eastAsia="en-GB"/>
        </w:rPr>
        <w:t>A further income pressure of £175,000 relates to staff and civic catering, some of these facilities remained closed and whilst others reopened sales are significantly lower than before the pandemic. </w:t>
      </w:r>
    </w:p>
    <w:p w14:paraId="39D290EB" w14:textId="77777777" w:rsidR="007A01F4" w:rsidRPr="007A01F4" w:rsidRDefault="00162F2E" w:rsidP="0069446A">
      <w:pPr>
        <w:numPr>
          <w:ilvl w:val="0"/>
          <w:numId w:val="38"/>
        </w:numPr>
        <w:autoSpaceDE/>
        <w:autoSpaceDN/>
        <w:adjustRightInd/>
        <w:spacing w:after="0"/>
        <w:ind w:left="567" w:hanging="342"/>
        <w:textAlignment w:val="baseline"/>
        <w:rPr>
          <w:rFonts w:eastAsia="Times New Roman" w:cs="Arial"/>
          <w:color w:val="auto"/>
          <w:lang w:eastAsia="en-GB"/>
        </w:rPr>
      </w:pPr>
      <w:r w:rsidRPr="007A01F4">
        <w:rPr>
          <w:rFonts w:eastAsia="Times New Roman" w:cs="Arial"/>
          <w:color w:val="auto"/>
          <w:lang w:eastAsia="en-GB"/>
        </w:rPr>
        <w:t>Offsetting these were underspends on premises running costs and repairs and maintenance due to some sites remaining closed and others being significantly less occupied which resulted in underspends of £671,000. </w:t>
      </w:r>
    </w:p>
    <w:p w14:paraId="5E0E4F27" w14:textId="77777777" w:rsidR="007A01F4" w:rsidRPr="007A01F4" w:rsidRDefault="00162F2E" w:rsidP="0069446A">
      <w:pPr>
        <w:numPr>
          <w:ilvl w:val="0"/>
          <w:numId w:val="38"/>
        </w:numPr>
        <w:autoSpaceDE/>
        <w:autoSpaceDN/>
        <w:adjustRightInd/>
        <w:spacing w:after="0"/>
        <w:ind w:left="567" w:hanging="342"/>
        <w:textAlignment w:val="baseline"/>
        <w:rPr>
          <w:rFonts w:eastAsia="Times New Roman" w:cs="Arial"/>
          <w:color w:val="auto"/>
          <w:lang w:eastAsia="en-GB"/>
        </w:rPr>
      </w:pPr>
      <w:r w:rsidRPr="007A01F4">
        <w:rPr>
          <w:rFonts w:eastAsia="Times New Roman" w:cs="Arial"/>
          <w:color w:val="auto"/>
          <w:lang w:eastAsia="en-GB"/>
        </w:rPr>
        <w:t>Energy prices have increase significantly over recent months and remain a future risk and whilst these budgets are inflated, they are particularly volatile so a provision of £815,000 has been made to help cover this risk in 2022/23. </w:t>
      </w:r>
    </w:p>
    <w:p w14:paraId="65FF6574" w14:textId="77777777" w:rsidR="007A01F4" w:rsidRPr="007A01F4" w:rsidRDefault="00162F2E" w:rsidP="0025194C">
      <w:pPr>
        <w:autoSpaceDE/>
        <w:autoSpaceDN/>
        <w:adjustRightInd/>
        <w:spacing w:after="0"/>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 </w:t>
      </w:r>
    </w:p>
    <w:p w14:paraId="11E40EA0" w14:textId="77777777" w:rsidR="007A01F4" w:rsidRPr="007A01F4" w:rsidRDefault="00162F2E" w:rsidP="008605E8">
      <w:pPr>
        <w:autoSpaceDE/>
        <w:autoSpaceDN/>
        <w:adjustRightInd/>
        <w:spacing w:after="0"/>
        <w:textAlignment w:val="baseline"/>
        <w:rPr>
          <w:rFonts w:ascii="Segoe UI" w:eastAsia="Times New Roman" w:hAnsi="Segoe UI" w:cs="Segoe UI"/>
          <w:color w:val="auto"/>
          <w:sz w:val="18"/>
          <w:szCs w:val="18"/>
          <w:lang w:eastAsia="en-GB"/>
        </w:rPr>
      </w:pPr>
      <w:r w:rsidRPr="007A01F4">
        <w:rPr>
          <w:rFonts w:eastAsia="Times New Roman" w:cs="Arial"/>
          <w:color w:val="auto"/>
          <w:lang w:eastAsia="en-GB"/>
        </w:rPr>
        <w:t>The position has worsened by £869,000 compared to quarter 3 predominantly due to the provision to cover risk around future energy costs. </w:t>
      </w:r>
    </w:p>
    <w:p w14:paraId="7511D0C9" w14:textId="77777777" w:rsidR="00C42640" w:rsidRPr="007A01F4" w:rsidRDefault="00C42640" w:rsidP="007A01F4">
      <w:pPr>
        <w:autoSpaceDE/>
        <w:autoSpaceDN/>
        <w:adjustRightInd/>
        <w:spacing w:after="0"/>
        <w:textAlignment w:val="baseline"/>
        <w:rPr>
          <w:rFonts w:ascii="Segoe UI" w:eastAsia="Times New Roman" w:hAnsi="Segoe UI" w:cs="Segoe UI"/>
          <w:color w:val="auto"/>
          <w:sz w:val="18"/>
          <w:szCs w:val="18"/>
          <w:lang w:eastAsia="en-GB"/>
        </w:rPr>
      </w:pPr>
    </w:p>
    <w:p w14:paraId="4783A5DB" w14:textId="77777777" w:rsidR="008B0C7D" w:rsidRPr="00A648F9" w:rsidRDefault="00162F2E" w:rsidP="008B0C7D">
      <w:pPr>
        <w:pStyle w:val="paragraph"/>
        <w:spacing w:before="0" w:beforeAutospacing="0" w:after="0" w:afterAutospacing="0"/>
        <w:contextualSpacing/>
        <w:jc w:val="both"/>
        <w:rPr>
          <w:rStyle w:val="eop"/>
          <w:rFonts w:ascii="Arial" w:hAnsi="Arial" w:cs="Arial"/>
          <w:b/>
        </w:rPr>
      </w:pPr>
      <w:r w:rsidRPr="00A648F9">
        <w:rPr>
          <w:rStyle w:val="eop"/>
          <w:rFonts w:ascii="Arial" w:hAnsi="Arial" w:cs="Arial"/>
          <w:b/>
        </w:rPr>
        <w:t xml:space="preserve">Digital Services </w:t>
      </w:r>
    </w:p>
    <w:p w14:paraId="207E9FB2" w14:textId="77777777" w:rsidR="008B0C7D" w:rsidRDefault="008B0C7D" w:rsidP="008B0C7D">
      <w:pPr>
        <w:pStyle w:val="paragraph"/>
        <w:spacing w:before="0" w:beforeAutospacing="0" w:after="0" w:afterAutospacing="0"/>
        <w:contextualSpacing/>
        <w:jc w:val="both"/>
        <w:rPr>
          <w:rStyle w:val="eop"/>
        </w:rPr>
      </w:pPr>
    </w:p>
    <w:tbl>
      <w:tblPr>
        <w:tblStyle w:val="TableGrid"/>
        <w:tblW w:w="9493" w:type="dxa"/>
        <w:tblLayout w:type="fixed"/>
        <w:tblLook w:val="06A0" w:firstRow="1" w:lastRow="0" w:firstColumn="1" w:lastColumn="0" w:noHBand="1" w:noVBand="1"/>
      </w:tblPr>
      <w:tblGrid>
        <w:gridCol w:w="3514"/>
        <w:gridCol w:w="1379"/>
        <w:gridCol w:w="1141"/>
        <w:gridCol w:w="1141"/>
        <w:gridCol w:w="1141"/>
        <w:gridCol w:w="1177"/>
      </w:tblGrid>
      <w:tr w:rsidR="006E5B54" w14:paraId="06483465" w14:textId="77777777" w:rsidTr="00572FD8">
        <w:trPr>
          <w:trHeight w:val="790"/>
        </w:trPr>
        <w:tc>
          <w:tcPr>
            <w:tcW w:w="351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4C1410A" w14:textId="77777777" w:rsidR="008B0C7D" w:rsidRDefault="00162F2E" w:rsidP="00572FD8">
            <w:pPr>
              <w:spacing w:after="0"/>
              <w:contextualSpacing/>
              <w:jc w:val="left"/>
            </w:pPr>
            <w:r w:rsidRPr="16993C49">
              <w:rPr>
                <w:rFonts w:eastAsia="Arial" w:cs="Arial"/>
                <w:b/>
                <w:bCs/>
                <w:color w:val="000000" w:themeColor="text1"/>
                <w:sz w:val="20"/>
                <w:szCs w:val="20"/>
              </w:rPr>
              <w:t>Digital Services</w:t>
            </w:r>
          </w:p>
        </w:tc>
        <w:tc>
          <w:tcPr>
            <w:tcW w:w="1379"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4E8DA25" w14:textId="77777777" w:rsidR="008B0C7D" w:rsidRDefault="00162F2E" w:rsidP="00704341">
            <w:pPr>
              <w:spacing w:after="0"/>
              <w:contextualSpacing/>
              <w:jc w:val="center"/>
              <w:rPr>
                <w:rFonts w:eastAsia="Arial" w:cs="Arial"/>
                <w:b/>
                <w:bCs/>
                <w:color w:val="000000" w:themeColor="text1"/>
                <w:sz w:val="20"/>
                <w:szCs w:val="20"/>
              </w:rPr>
            </w:pPr>
            <w:r w:rsidRPr="16993C49">
              <w:rPr>
                <w:rFonts w:eastAsia="Arial" w:cs="Arial"/>
                <w:b/>
                <w:bCs/>
                <w:color w:val="000000" w:themeColor="text1"/>
                <w:sz w:val="20"/>
                <w:szCs w:val="20"/>
              </w:rPr>
              <w:t xml:space="preserve">Approved Net Budget </w:t>
            </w:r>
          </w:p>
        </w:tc>
        <w:tc>
          <w:tcPr>
            <w:tcW w:w="1141"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405C284" w14:textId="77777777" w:rsidR="008B0C7D" w:rsidRDefault="00162F2E" w:rsidP="00704341">
            <w:pPr>
              <w:spacing w:after="0"/>
              <w:contextualSpacing/>
              <w:jc w:val="center"/>
              <w:rPr>
                <w:rFonts w:eastAsia="Arial" w:cs="Arial"/>
                <w:b/>
                <w:bCs/>
                <w:color w:val="000000" w:themeColor="text1"/>
                <w:sz w:val="20"/>
                <w:szCs w:val="20"/>
              </w:rPr>
            </w:pPr>
            <w:r w:rsidRPr="16993C49">
              <w:rPr>
                <w:rFonts w:eastAsia="Arial" w:cs="Arial"/>
                <w:b/>
                <w:bCs/>
                <w:color w:val="000000" w:themeColor="text1"/>
                <w:sz w:val="20"/>
                <w:szCs w:val="20"/>
              </w:rPr>
              <w:t xml:space="preserve">Net Outturn </w:t>
            </w:r>
          </w:p>
        </w:tc>
        <w:tc>
          <w:tcPr>
            <w:tcW w:w="1141"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C040C36" w14:textId="77777777" w:rsidR="008B0C7D" w:rsidRDefault="00162F2E" w:rsidP="00704341">
            <w:pPr>
              <w:spacing w:after="0"/>
              <w:contextualSpacing/>
              <w:jc w:val="center"/>
              <w:rPr>
                <w:rFonts w:eastAsia="Arial" w:cs="Arial"/>
                <w:b/>
                <w:bCs/>
                <w:color w:val="000000" w:themeColor="text1"/>
                <w:sz w:val="20"/>
                <w:szCs w:val="20"/>
              </w:rPr>
            </w:pPr>
            <w:r w:rsidRPr="16993C49">
              <w:rPr>
                <w:rFonts w:eastAsia="Arial" w:cs="Arial"/>
                <w:b/>
                <w:bCs/>
                <w:color w:val="000000" w:themeColor="text1"/>
                <w:sz w:val="20"/>
                <w:szCs w:val="20"/>
              </w:rPr>
              <w:t>Net Outturn Variance</w:t>
            </w:r>
          </w:p>
        </w:tc>
        <w:tc>
          <w:tcPr>
            <w:tcW w:w="1141"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2552752" w14:textId="77777777" w:rsidR="008B0C7D" w:rsidRDefault="00162F2E" w:rsidP="00704341">
            <w:pPr>
              <w:spacing w:after="0"/>
              <w:contextualSpacing/>
              <w:jc w:val="center"/>
              <w:rPr>
                <w:rFonts w:eastAsia="Arial" w:cs="Arial"/>
                <w:b/>
                <w:bCs/>
                <w:color w:val="000000" w:themeColor="text1"/>
                <w:sz w:val="20"/>
                <w:szCs w:val="20"/>
              </w:rPr>
            </w:pPr>
            <w:r w:rsidRPr="16993C49">
              <w:rPr>
                <w:rFonts w:eastAsia="Arial" w:cs="Arial"/>
                <w:b/>
                <w:bCs/>
                <w:color w:val="000000" w:themeColor="text1"/>
                <w:sz w:val="20"/>
                <w:szCs w:val="20"/>
              </w:rPr>
              <w:t>Net Outturn Variance</w:t>
            </w:r>
          </w:p>
        </w:tc>
        <w:tc>
          <w:tcPr>
            <w:tcW w:w="117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67D23500" w14:textId="77777777" w:rsidR="008B0C7D" w:rsidRDefault="00162F2E" w:rsidP="00704341">
            <w:pPr>
              <w:spacing w:after="0"/>
              <w:contextualSpacing/>
              <w:jc w:val="center"/>
              <w:rPr>
                <w:rFonts w:eastAsia="Arial" w:cs="Arial"/>
                <w:b/>
                <w:bCs/>
                <w:sz w:val="20"/>
                <w:szCs w:val="20"/>
              </w:rPr>
            </w:pPr>
            <w:r w:rsidRPr="16993C49">
              <w:rPr>
                <w:rFonts w:eastAsia="Arial" w:cs="Arial"/>
                <w:b/>
                <w:bCs/>
                <w:sz w:val="20"/>
                <w:szCs w:val="20"/>
              </w:rPr>
              <w:t>Q3 Variance</w:t>
            </w:r>
          </w:p>
        </w:tc>
      </w:tr>
      <w:tr w:rsidR="006E5B54" w14:paraId="748410D1" w14:textId="77777777" w:rsidTr="00572FD8">
        <w:trPr>
          <w:trHeight w:val="288"/>
        </w:trPr>
        <w:tc>
          <w:tcPr>
            <w:tcW w:w="351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0EAFAE" w14:textId="77777777" w:rsidR="008B0C7D" w:rsidRDefault="008B0C7D" w:rsidP="00704341">
            <w:pPr>
              <w:spacing w:after="0"/>
              <w:contextualSpacing/>
            </w:pPr>
          </w:p>
        </w:tc>
        <w:tc>
          <w:tcPr>
            <w:tcW w:w="137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D766767" w14:textId="77777777" w:rsidR="008B0C7D" w:rsidRDefault="00162F2E" w:rsidP="00704341">
            <w:pPr>
              <w:spacing w:after="0"/>
              <w:contextualSpacing/>
              <w:jc w:val="center"/>
              <w:rPr>
                <w:rFonts w:eastAsia="Arial" w:cs="Arial"/>
                <w:b/>
                <w:bCs/>
                <w:color w:val="000000" w:themeColor="text1"/>
                <w:sz w:val="20"/>
                <w:szCs w:val="20"/>
              </w:rPr>
            </w:pPr>
            <w:r w:rsidRPr="16993C49">
              <w:rPr>
                <w:rFonts w:eastAsia="Arial" w:cs="Arial"/>
                <w:b/>
                <w:bCs/>
                <w:color w:val="000000" w:themeColor="text1"/>
                <w:sz w:val="20"/>
                <w:szCs w:val="20"/>
              </w:rPr>
              <w:t>£m</w:t>
            </w:r>
          </w:p>
        </w:tc>
        <w:tc>
          <w:tcPr>
            <w:tcW w:w="114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2698EF1" w14:textId="77777777" w:rsidR="008B0C7D" w:rsidRDefault="00162F2E" w:rsidP="00704341">
            <w:pPr>
              <w:spacing w:after="0"/>
              <w:contextualSpacing/>
              <w:jc w:val="center"/>
              <w:rPr>
                <w:rFonts w:eastAsia="Arial" w:cs="Arial"/>
                <w:b/>
                <w:bCs/>
                <w:color w:val="000000" w:themeColor="text1"/>
                <w:sz w:val="20"/>
                <w:szCs w:val="20"/>
              </w:rPr>
            </w:pPr>
            <w:r w:rsidRPr="16993C49">
              <w:rPr>
                <w:rFonts w:eastAsia="Arial" w:cs="Arial"/>
                <w:b/>
                <w:bCs/>
                <w:color w:val="000000" w:themeColor="text1"/>
                <w:sz w:val="20"/>
                <w:szCs w:val="20"/>
              </w:rPr>
              <w:t>£m</w:t>
            </w:r>
          </w:p>
        </w:tc>
        <w:tc>
          <w:tcPr>
            <w:tcW w:w="114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9D9A0E" w14:textId="77777777" w:rsidR="008B0C7D" w:rsidRDefault="00162F2E" w:rsidP="00704341">
            <w:pPr>
              <w:spacing w:after="0"/>
              <w:contextualSpacing/>
              <w:jc w:val="center"/>
              <w:rPr>
                <w:rFonts w:eastAsia="Arial" w:cs="Arial"/>
                <w:b/>
                <w:bCs/>
                <w:color w:val="000000" w:themeColor="text1"/>
                <w:sz w:val="20"/>
                <w:szCs w:val="20"/>
              </w:rPr>
            </w:pPr>
            <w:r w:rsidRPr="16993C49">
              <w:rPr>
                <w:rFonts w:eastAsia="Arial" w:cs="Arial"/>
                <w:b/>
                <w:bCs/>
                <w:color w:val="000000" w:themeColor="text1"/>
                <w:sz w:val="20"/>
                <w:szCs w:val="20"/>
              </w:rPr>
              <w:t>£m</w:t>
            </w:r>
          </w:p>
        </w:tc>
        <w:tc>
          <w:tcPr>
            <w:tcW w:w="114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72BD124" w14:textId="77777777" w:rsidR="008B0C7D" w:rsidRDefault="00162F2E" w:rsidP="00704341">
            <w:pPr>
              <w:spacing w:after="0"/>
              <w:contextualSpacing/>
              <w:jc w:val="center"/>
              <w:rPr>
                <w:rFonts w:eastAsia="Arial" w:cs="Arial"/>
                <w:b/>
                <w:bCs/>
                <w:color w:val="000000" w:themeColor="text1"/>
                <w:sz w:val="20"/>
                <w:szCs w:val="20"/>
              </w:rPr>
            </w:pPr>
            <w:r w:rsidRPr="16993C49">
              <w:rPr>
                <w:rFonts w:eastAsia="Arial" w:cs="Arial"/>
                <w:b/>
                <w:bCs/>
                <w:color w:val="000000" w:themeColor="text1"/>
                <w:sz w:val="20"/>
                <w:szCs w:val="20"/>
              </w:rPr>
              <w:t>%</w:t>
            </w:r>
          </w:p>
        </w:tc>
        <w:tc>
          <w:tcPr>
            <w:tcW w:w="11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7034BEA" w14:textId="77777777" w:rsidR="008B0C7D" w:rsidRDefault="00162F2E" w:rsidP="00704341">
            <w:pPr>
              <w:spacing w:after="0"/>
              <w:contextualSpacing/>
              <w:jc w:val="center"/>
              <w:rPr>
                <w:rFonts w:eastAsia="Arial" w:cs="Arial"/>
                <w:b/>
                <w:bCs/>
                <w:sz w:val="20"/>
                <w:szCs w:val="20"/>
              </w:rPr>
            </w:pPr>
            <w:r w:rsidRPr="16993C49">
              <w:rPr>
                <w:rFonts w:eastAsia="Arial" w:cs="Arial"/>
                <w:b/>
                <w:bCs/>
                <w:sz w:val="20"/>
                <w:szCs w:val="20"/>
              </w:rPr>
              <w:t>£m</w:t>
            </w:r>
          </w:p>
        </w:tc>
      </w:tr>
      <w:tr w:rsidR="006E5B54" w14:paraId="7756974B" w14:textId="77777777" w:rsidTr="00572FD8">
        <w:trPr>
          <w:trHeight w:val="288"/>
        </w:trPr>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626B4" w14:textId="77777777" w:rsidR="008B0C7D" w:rsidRDefault="00162F2E" w:rsidP="00704341">
            <w:pPr>
              <w:spacing w:after="0"/>
              <w:contextualSpacing/>
            </w:pPr>
            <w:r w:rsidRPr="16993C49">
              <w:rPr>
                <w:rFonts w:eastAsia="Arial" w:cs="Arial"/>
                <w:b/>
                <w:bCs/>
                <w:color w:val="000000" w:themeColor="text1"/>
                <w:sz w:val="20"/>
                <w:szCs w:val="20"/>
              </w:rPr>
              <w:t>Service Assurance</w:t>
            </w:r>
          </w:p>
        </w:tc>
        <w:tc>
          <w:tcPr>
            <w:tcW w:w="1379" w:type="dxa"/>
            <w:tcBorders>
              <w:top w:val="single" w:sz="4" w:space="0" w:color="auto"/>
              <w:left w:val="single" w:sz="4" w:space="0" w:color="auto"/>
              <w:bottom w:val="single" w:sz="4" w:space="0" w:color="auto"/>
              <w:right w:val="single" w:sz="4" w:space="0" w:color="auto"/>
            </w:tcBorders>
            <w:vAlign w:val="center"/>
          </w:tcPr>
          <w:p w14:paraId="7A8775C5" w14:textId="77777777" w:rsidR="008B0C7D" w:rsidRDefault="00162F2E" w:rsidP="00F65638">
            <w:pPr>
              <w:spacing w:after="0"/>
              <w:contextualSpacing/>
              <w:jc w:val="right"/>
            </w:pPr>
            <w:r w:rsidRPr="16993C49">
              <w:rPr>
                <w:rFonts w:eastAsia="Arial" w:cs="Arial"/>
                <w:color w:val="000000" w:themeColor="text1"/>
                <w:sz w:val="20"/>
                <w:szCs w:val="20"/>
              </w:rPr>
              <w:t>15.657</w:t>
            </w:r>
          </w:p>
        </w:tc>
        <w:tc>
          <w:tcPr>
            <w:tcW w:w="1141" w:type="dxa"/>
            <w:tcBorders>
              <w:top w:val="single" w:sz="4" w:space="0" w:color="auto"/>
              <w:left w:val="single" w:sz="4" w:space="0" w:color="auto"/>
              <w:bottom w:val="single" w:sz="4" w:space="0" w:color="auto"/>
              <w:right w:val="single" w:sz="4" w:space="0" w:color="auto"/>
            </w:tcBorders>
            <w:vAlign w:val="center"/>
          </w:tcPr>
          <w:p w14:paraId="39BDF11D" w14:textId="77777777" w:rsidR="008B0C7D" w:rsidRDefault="00162F2E" w:rsidP="00F65638">
            <w:pPr>
              <w:spacing w:after="0"/>
              <w:contextualSpacing/>
              <w:jc w:val="right"/>
            </w:pPr>
            <w:r w:rsidRPr="16993C49">
              <w:rPr>
                <w:rFonts w:eastAsia="Arial" w:cs="Arial"/>
                <w:color w:val="000000" w:themeColor="text1"/>
                <w:sz w:val="20"/>
                <w:szCs w:val="20"/>
              </w:rPr>
              <w:t>12.196</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7CAC3" w14:textId="77777777" w:rsidR="008B0C7D" w:rsidRDefault="00162F2E" w:rsidP="00F65638">
            <w:pPr>
              <w:spacing w:after="0"/>
              <w:contextualSpacing/>
              <w:jc w:val="right"/>
            </w:pPr>
            <w:r w:rsidRPr="16993C49">
              <w:rPr>
                <w:rFonts w:eastAsia="Arial" w:cs="Arial"/>
                <w:color w:val="000000" w:themeColor="text1"/>
                <w:sz w:val="20"/>
                <w:szCs w:val="20"/>
              </w:rPr>
              <w:t>-3.461</w:t>
            </w:r>
          </w:p>
        </w:tc>
        <w:tc>
          <w:tcPr>
            <w:tcW w:w="1141" w:type="dxa"/>
            <w:tcBorders>
              <w:top w:val="single" w:sz="4" w:space="0" w:color="auto"/>
              <w:left w:val="single" w:sz="4" w:space="0" w:color="auto"/>
              <w:bottom w:val="single" w:sz="4" w:space="0" w:color="auto"/>
              <w:right w:val="single" w:sz="4" w:space="0" w:color="auto"/>
            </w:tcBorders>
            <w:vAlign w:val="center"/>
          </w:tcPr>
          <w:p w14:paraId="5F8A83E3" w14:textId="77777777" w:rsidR="008B0C7D" w:rsidRDefault="00162F2E" w:rsidP="008605E8">
            <w:pPr>
              <w:spacing w:after="0"/>
              <w:contextualSpacing/>
              <w:jc w:val="right"/>
              <w:rPr>
                <w:rFonts w:eastAsia="Arial" w:cs="Arial"/>
                <w:color w:val="000000" w:themeColor="text1"/>
                <w:sz w:val="20"/>
                <w:szCs w:val="20"/>
              </w:rPr>
            </w:pPr>
            <w:r w:rsidRPr="16993C49">
              <w:rPr>
                <w:rFonts w:eastAsia="Arial" w:cs="Arial"/>
                <w:color w:val="000000" w:themeColor="text1"/>
                <w:sz w:val="20"/>
                <w:szCs w:val="20"/>
              </w:rPr>
              <w:t>-22.11%</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28EA1" w14:textId="77777777" w:rsidR="008B0C7D" w:rsidRDefault="00162F2E" w:rsidP="00F65638">
            <w:pPr>
              <w:spacing w:after="0"/>
              <w:contextualSpacing/>
              <w:jc w:val="right"/>
            </w:pPr>
            <w:r w:rsidRPr="16993C49">
              <w:rPr>
                <w:rFonts w:eastAsia="Arial" w:cs="Arial"/>
                <w:sz w:val="20"/>
                <w:szCs w:val="20"/>
              </w:rPr>
              <w:t>-0.901</w:t>
            </w:r>
          </w:p>
        </w:tc>
      </w:tr>
      <w:tr w:rsidR="006E5B54" w14:paraId="05AC050E" w14:textId="77777777" w:rsidTr="00572FD8">
        <w:trPr>
          <w:trHeight w:val="288"/>
        </w:trPr>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70C29" w14:textId="77777777" w:rsidR="008B0C7D" w:rsidRDefault="00162F2E" w:rsidP="00704341">
            <w:pPr>
              <w:spacing w:after="0"/>
              <w:contextualSpacing/>
            </w:pPr>
            <w:r w:rsidRPr="16993C49">
              <w:rPr>
                <w:rFonts w:eastAsia="Arial" w:cs="Arial"/>
                <w:b/>
                <w:bCs/>
                <w:color w:val="000000" w:themeColor="text1"/>
                <w:sz w:val="20"/>
                <w:szCs w:val="20"/>
              </w:rPr>
              <w:t>Digital Business Engagement</w:t>
            </w:r>
          </w:p>
        </w:tc>
        <w:tc>
          <w:tcPr>
            <w:tcW w:w="1379" w:type="dxa"/>
            <w:tcBorders>
              <w:top w:val="single" w:sz="4" w:space="0" w:color="auto"/>
              <w:left w:val="single" w:sz="4" w:space="0" w:color="auto"/>
              <w:bottom w:val="single" w:sz="4" w:space="0" w:color="auto"/>
              <w:right w:val="single" w:sz="4" w:space="0" w:color="auto"/>
            </w:tcBorders>
            <w:vAlign w:val="center"/>
          </w:tcPr>
          <w:p w14:paraId="539A5ABC" w14:textId="77777777" w:rsidR="008B0C7D" w:rsidRDefault="00162F2E" w:rsidP="00F65638">
            <w:pPr>
              <w:spacing w:after="0"/>
              <w:contextualSpacing/>
              <w:jc w:val="right"/>
            </w:pPr>
            <w:r w:rsidRPr="16993C49">
              <w:rPr>
                <w:rFonts w:eastAsia="Arial" w:cs="Arial"/>
                <w:color w:val="000000" w:themeColor="text1"/>
                <w:sz w:val="20"/>
                <w:szCs w:val="20"/>
              </w:rPr>
              <w:t>1.825</w:t>
            </w:r>
          </w:p>
        </w:tc>
        <w:tc>
          <w:tcPr>
            <w:tcW w:w="1141" w:type="dxa"/>
            <w:tcBorders>
              <w:top w:val="single" w:sz="4" w:space="0" w:color="auto"/>
              <w:left w:val="single" w:sz="4" w:space="0" w:color="auto"/>
              <w:bottom w:val="single" w:sz="4" w:space="0" w:color="auto"/>
              <w:right w:val="single" w:sz="4" w:space="0" w:color="auto"/>
            </w:tcBorders>
            <w:vAlign w:val="center"/>
          </w:tcPr>
          <w:p w14:paraId="6397AFF8" w14:textId="77777777" w:rsidR="008B0C7D" w:rsidRDefault="00162F2E" w:rsidP="00F65638">
            <w:pPr>
              <w:spacing w:after="0"/>
              <w:contextualSpacing/>
              <w:jc w:val="right"/>
            </w:pPr>
            <w:r w:rsidRPr="16993C49">
              <w:rPr>
                <w:rFonts w:eastAsia="Arial" w:cs="Arial"/>
                <w:color w:val="000000" w:themeColor="text1"/>
                <w:sz w:val="20"/>
                <w:szCs w:val="20"/>
              </w:rPr>
              <w:t>1.565</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6967C" w14:textId="77777777" w:rsidR="008B0C7D" w:rsidRDefault="00162F2E" w:rsidP="00F65638">
            <w:pPr>
              <w:spacing w:after="0"/>
              <w:contextualSpacing/>
              <w:jc w:val="right"/>
            </w:pPr>
            <w:r w:rsidRPr="16993C49">
              <w:rPr>
                <w:rFonts w:eastAsia="Arial" w:cs="Arial"/>
                <w:color w:val="000000" w:themeColor="text1"/>
                <w:sz w:val="20"/>
                <w:szCs w:val="20"/>
              </w:rPr>
              <w:t>-0.260</w:t>
            </w:r>
          </w:p>
        </w:tc>
        <w:tc>
          <w:tcPr>
            <w:tcW w:w="1141" w:type="dxa"/>
            <w:tcBorders>
              <w:top w:val="single" w:sz="4" w:space="0" w:color="auto"/>
              <w:left w:val="single" w:sz="4" w:space="0" w:color="auto"/>
              <w:bottom w:val="single" w:sz="4" w:space="0" w:color="auto"/>
              <w:right w:val="single" w:sz="4" w:space="0" w:color="auto"/>
            </w:tcBorders>
            <w:vAlign w:val="center"/>
          </w:tcPr>
          <w:p w14:paraId="2807E146" w14:textId="77777777" w:rsidR="008B0C7D" w:rsidRDefault="00162F2E" w:rsidP="008605E8">
            <w:pPr>
              <w:spacing w:after="0"/>
              <w:contextualSpacing/>
              <w:jc w:val="right"/>
              <w:rPr>
                <w:rFonts w:eastAsia="Arial" w:cs="Arial"/>
                <w:color w:val="000000" w:themeColor="text1"/>
                <w:sz w:val="20"/>
                <w:szCs w:val="20"/>
              </w:rPr>
            </w:pPr>
            <w:r w:rsidRPr="16993C49">
              <w:rPr>
                <w:rFonts w:eastAsia="Arial" w:cs="Arial"/>
                <w:color w:val="000000" w:themeColor="text1"/>
                <w:sz w:val="20"/>
                <w:szCs w:val="20"/>
              </w:rPr>
              <w:t>-14.25%</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A062E" w14:textId="77777777" w:rsidR="008B0C7D" w:rsidRDefault="00162F2E" w:rsidP="00F65638">
            <w:pPr>
              <w:spacing w:after="0"/>
              <w:contextualSpacing/>
              <w:jc w:val="right"/>
            </w:pPr>
            <w:r w:rsidRPr="16993C49">
              <w:rPr>
                <w:rFonts w:eastAsia="Arial" w:cs="Arial"/>
                <w:sz w:val="20"/>
                <w:szCs w:val="20"/>
              </w:rPr>
              <w:t>-0.312</w:t>
            </w:r>
          </w:p>
        </w:tc>
      </w:tr>
      <w:tr w:rsidR="006E5B54" w14:paraId="1B92D9C6" w14:textId="77777777" w:rsidTr="00572FD8">
        <w:trPr>
          <w:trHeight w:val="288"/>
        </w:trPr>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AA49B" w14:textId="77777777" w:rsidR="008B0C7D" w:rsidRDefault="00162F2E" w:rsidP="00704341">
            <w:pPr>
              <w:spacing w:after="0"/>
              <w:contextualSpacing/>
            </w:pPr>
            <w:r w:rsidRPr="16993C49">
              <w:rPr>
                <w:rFonts w:eastAsia="Arial" w:cs="Arial"/>
                <w:b/>
                <w:bCs/>
                <w:color w:val="000000" w:themeColor="text1"/>
                <w:sz w:val="20"/>
                <w:szCs w:val="20"/>
              </w:rPr>
              <w:t>Design &amp; Implement</w:t>
            </w:r>
          </w:p>
        </w:tc>
        <w:tc>
          <w:tcPr>
            <w:tcW w:w="1379" w:type="dxa"/>
            <w:tcBorders>
              <w:top w:val="single" w:sz="4" w:space="0" w:color="auto"/>
              <w:left w:val="single" w:sz="4" w:space="0" w:color="auto"/>
              <w:bottom w:val="single" w:sz="4" w:space="0" w:color="auto"/>
              <w:right w:val="single" w:sz="4" w:space="0" w:color="auto"/>
            </w:tcBorders>
            <w:vAlign w:val="center"/>
          </w:tcPr>
          <w:p w14:paraId="5199A2D4" w14:textId="77777777" w:rsidR="008B0C7D" w:rsidRDefault="00162F2E" w:rsidP="00F65638">
            <w:pPr>
              <w:spacing w:after="0"/>
              <w:contextualSpacing/>
              <w:jc w:val="right"/>
            </w:pPr>
            <w:r w:rsidRPr="16993C49">
              <w:rPr>
                <w:rFonts w:eastAsia="Arial" w:cs="Arial"/>
                <w:color w:val="000000" w:themeColor="text1"/>
                <w:sz w:val="20"/>
                <w:szCs w:val="20"/>
              </w:rPr>
              <w:t>5.542</w:t>
            </w:r>
          </w:p>
        </w:tc>
        <w:tc>
          <w:tcPr>
            <w:tcW w:w="1141" w:type="dxa"/>
            <w:tcBorders>
              <w:top w:val="single" w:sz="4" w:space="0" w:color="auto"/>
              <w:left w:val="single" w:sz="4" w:space="0" w:color="auto"/>
              <w:bottom w:val="single" w:sz="4" w:space="0" w:color="auto"/>
              <w:right w:val="single" w:sz="4" w:space="0" w:color="auto"/>
            </w:tcBorders>
            <w:vAlign w:val="center"/>
          </w:tcPr>
          <w:p w14:paraId="0E0874A9" w14:textId="77777777" w:rsidR="008B0C7D" w:rsidRDefault="00162F2E" w:rsidP="00F65638">
            <w:pPr>
              <w:spacing w:after="0"/>
              <w:contextualSpacing/>
              <w:jc w:val="right"/>
            </w:pPr>
            <w:r w:rsidRPr="16993C49">
              <w:rPr>
                <w:rFonts w:eastAsia="Arial" w:cs="Arial"/>
                <w:color w:val="000000" w:themeColor="text1"/>
                <w:sz w:val="20"/>
                <w:szCs w:val="20"/>
              </w:rPr>
              <w:t>5.588</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4278" w14:textId="77777777" w:rsidR="008B0C7D" w:rsidRDefault="00162F2E" w:rsidP="00F65638">
            <w:pPr>
              <w:spacing w:after="0"/>
              <w:contextualSpacing/>
              <w:jc w:val="right"/>
            </w:pPr>
            <w:r w:rsidRPr="16993C49">
              <w:rPr>
                <w:rFonts w:eastAsia="Arial" w:cs="Arial"/>
                <w:color w:val="000000" w:themeColor="text1"/>
                <w:sz w:val="20"/>
                <w:szCs w:val="20"/>
              </w:rPr>
              <w:t>0.046</w:t>
            </w:r>
          </w:p>
        </w:tc>
        <w:tc>
          <w:tcPr>
            <w:tcW w:w="1141" w:type="dxa"/>
            <w:tcBorders>
              <w:top w:val="single" w:sz="4" w:space="0" w:color="auto"/>
              <w:left w:val="single" w:sz="4" w:space="0" w:color="auto"/>
              <w:bottom w:val="single" w:sz="4" w:space="0" w:color="auto"/>
              <w:right w:val="single" w:sz="4" w:space="0" w:color="auto"/>
            </w:tcBorders>
            <w:vAlign w:val="center"/>
          </w:tcPr>
          <w:p w14:paraId="6EB2F5F2" w14:textId="77777777" w:rsidR="008B0C7D" w:rsidRDefault="00162F2E" w:rsidP="008605E8">
            <w:pPr>
              <w:spacing w:after="0"/>
              <w:contextualSpacing/>
              <w:jc w:val="right"/>
              <w:rPr>
                <w:rFonts w:eastAsia="Arial" w:cs="Arial"/>
                <w:color w:val="000000" w:themeColor="text1"/>
                <w:sz w:val="20"/>
                <w:szCs w:val="20"/>
              </w:rPr>
            </w:pPr>
            <w:r w:rsidRPr="16993C49">
              <w:rPr>
                <w:rFonts w:eastAsia="Arial" w:cs="Arial"/>
                <w:color w:val="000000" w:themeColor="text1"/>
                <w:sz w:val="20"/>
                <w:szCs w:val="20"/>
              </w:rPr>
              <w:t>0.83%</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22499" w14:textId="77777777" w:rsidR="008B0C7D" w:rsidRDefault="00162F2E" w:rsidP="00F65638">
            <w:pPr>
              <w:spacing w:after="0"/>
              <w:contextualSpacing/>
              <w:jc w:val="right"/>
            </w:pPr>
            <w:r w:rsidRPr="16993C49">
              <w:rPr>
                <w:rFonts w:eastAsia="Arial" w:cs="Arial"/>
                <w:sz w:val="20"/>
                <w:szCs w:val="20"/>
              </w:rPr>
              <w:t>0.113</w:t>
            </w:r>
          </w:p>
        </w:tc>
      </w:tr>
      <w:tr w:rsidR="006E5B54" w14:paraId="03FD5C34" w14:textId="77777777" w:rsidTr="00572FD8">
        <w:trPr>
          <w:trHeight w:val="288"/>
        </w:trPr>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952C0" w14:textId="77777777" w:rsidR="008B0C7D" w:rsidRDefault="00162F2E" w:rsidP="00704341">
            <w:pPr>
              <w:spacing w:after="0"/>
              <w:contextualSpacing/>
            </w:pPr>
            <w:r w:rsidRPr="16993C49">
              <w:rPr>
                <w:rFonts w:eastAsia="Arial" w:cs="Arial"/>
                <w:b/>
                <w:bCs/>
                <w:color w:val="000000" w:themeColor="text1"/>
                <w:sz w:val="20"/>
                <w:szCs w:val="20"/>
              </w:rPr>
              <w:t>Operate</w:t>
            </w:r>
          </w:p>
        </w:tc>
        <w:tc>
          <w:tcPr>
            <w:tcW w:w="1379" w:type="dxa"/>
            <w:tcBorders>
              <w:top w:val="single" w:sz="4" w:space="0" w:color="auto"/>
              <w:left w:val="single" w:sz="4" w:space="0" w:color="auto"/>
              <w:bottom w:val="single" w:sz="4" w:space="0" w:color="auto"/>
              <w:right w:val="single" w:sz="4" w:space="0" w:color="auto"/>
            </w:tcBorders>
            <w:vAlign w:val="center"/>
          </w:tcPr>
          <w:p w14:paraId="3FA87714" w14:textId="77777777" w:rsidR="008B0C7D" w:rsidRDefault="00162F2E" w:rsidP="00F65638">
            <w:pPr>
              <w:spacing w:after="0"/>
              <w:contextualSpacing/>
              <w:jc w:val="right"/>
            </w:pPr>
            <w:r w:rsidRPr="16993C49">
              <w:rPr>
                <w:rFonts w:eastAsia="Arial" w:cs="Arial"/>
                <w:color w:val="000000" w:themeColor="text1"/>
                <w:sz w:val="20"/>
                <w:szCs w:val="20"/>
              </w:rPr>
              <w:t>3.738</w:t>
            </w:r>
          </w:p>
        </w:tc>
        <w:tc>
          <w:tcPr>
            <w:tcW w:w="1141" w:type="dxa"/>
            <w:tcBorders>
              <w:top w:val="single" w:sz="4" w:space="0" w:color="auto"/>
              <w:left w:val="single" w:sz="4" w:space="0" w:color="auto"/>
              <w:bottom w:val="single" w:sz="4" w:space="0" w:color="auto"/>
              <w:right w:val="single" w:sz="4" w:space="0" w:color="auto"/>
            </w:tcBorders>
            <w:vAlign w:val="center"/>
          </w:tcPr>
          <w:p w14:paraId="3CED0053" w14:textId="77777777" w:rsidR="008B0C7D" w:rsidRDefault="00162F2E" w:rsidP="00F65638">
            <w:pPr>
              <w:spacing w:after="0"/>
              <w:contextualSpacing/>
              <w:jc w:val="right"/>
            </w:pPr>
            <w:r w:rsidRPr="16993C49">
              <w:rPr>
                <w:rFonts w:eastAsia="Arial" w:cs="Arial"/>
                <w:color w:val="000000" w:themeColor="text1"/>
                <w:sz w:val="20"/>
                <w:szCs w:val="20"/>
              </w:rPr>
              <w:t>3.018</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2439F" w14:textId="77777777" w:rsidR="008B0C7D" w:rsidRDefault="00162F2E" w:rsidP="00F65638">
            <w:pPr>
              <w:spacing w:after="0"/>
              <w:contextualSpacing/>
              <w:jc w:val="right"/>
            </w:pPr>
            <w:r w:rsidRPr="16993C49">
              <w:rPr>
                <w:rFonts w:eastAsia="Arial" w:cs="Arial"/>
                <w:color w:val="000000" w:themeColor="text1"/>
                <w:sz w:val="20"/>
                <w:szCs w:val="20"/>
              </w:rPr>
              <w:t>-0.720</w:t>
            </w:r>
          </w:p>
        </w:tc>
        <w:tc>
          <w:tcPr>
            <w:tcW w:w="1141" w:type="dxa"/>
            <w:tcBorders>
              <w:top w:val="single" w:sz="4" w:space="0" w:color="auto"/>
              <w:left w:val="single" w:sz="4" w:space="0" w:color="auto"/>
              <w:bottom w:val="single" w:sz="4" w:space="0" w:color="auto"/>
              <w:right w:val="single" w:sz="4" w:space="0" w:color="auto"/>
            </w:tcBorders>
            <w:vAlign w:val="center"/>
          </w:tcPr>
          <w:p w14:paraId="025911F1" w14:textId="77777777" w:rsidR="008B0C7D" w:rsidRDefault="00162F2E" w:rsidP="008605E8">
            <w:pPr>
              <w:spacing w:after="0"/>
              <w:contextualSpacing/>
              <w:jc w:val="right"/>
              <w:rPr>
                <w:rFonts w:eastAsia="Arial" w:cs="Arial"/>
                <w:color w:val="000000" w:themeColor="text1"/>
                <w:sz w:val="20"/>
                <w:szCs w:val="20"/>
              </w:rPr>
            </w:pPr>
            <w:r w:rsidRPr="16993C49">
              <w:rPr>
                <w:rFonts w:eastAsia="Arial" w:cs="Arial"/>
                <w:color w:val="000000" w:themeColor="text1"/>
                <w:sz w:val="20"/>
                <w:szCs w:val="20"/>
              </w:rPr>
              <w:t>-19.26%</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202AC" w14:textId="77777777" w:rsidR="008B0C7D" w:rsidRDefault="00162F2E" w:rsidP="00F65638">
            <w:pPr>
              <w:spacing w:after="0"/>
              <w:contextualSpacing/>
              <w:jc w:val="right"/>
            </w:pPr>
            <w:r w:rsidRPr="16993C49">
              <w:rPr>
                <w:rFonts w:eastAsia="Arial" w:cs="Arial"/>
                <w:sz w:val="20"/>
                <w:szCs w:val="20"/>
              </w:rPr>
              <w:t>-0.576</w:t>
            </w:r>
          </w:p>
        </w:tc>
      </w:tr>
      <w:tr w:rsidR="006E5B54" w14:paraId="3F8285B6" w14:textId="77777777" w:rsidTr="00572FD8">
        <w:trPr>
          <w:trHeight w:val="288"/>
        </w:trPr>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6E798" w14:textId="77777777" w:rsidR="008B0C7D" w:rsidRDefault="00162F2E" w:rsidP="00704341">
            <w:pPr>
              <w:spacing w:after="0"/>
              <w:contextualSpacing/>
            </w:pPr>
            <w:r w:rsidRPr="16993C49">
              <w:rPr>
                <w:rFonts w:eastAsia="Arial" w:cs="Arial"/>
                <w:b/>
                <w:bCs/>
                <w:color w:val="000000" w:themeColor="text1"/>
                <w:sz w:val="20"/>
                <w:szCs w:val="20"/>
              </w:rPr>
              <w:t>Architecture</w:t>
            </w:r>
          </w:p>
        </w:tc>
        <w:tc>
          <w:tcPr>
            <w:tcW w:w="1379" w:type="dxa"/>
            <w:tcBorders>
              <w:top w:val="single" w:sz="4" w:space="0" w:color="auto"/>
              <w:left w:val="single" w:sz="4" w:space="0" w:color="auto"/>
              <w:bottom w:val="single" w:sz="4" w:space="0" w:color="auto"/>
              <w:right w:val="single" w:sz="4" w:space="0" w:color="auto"/>
            </w:tcBorders>
            <w:vAlign w:val="center"/>
          </w:tcPr>
          <w:p w14:paraId="4EAF8E9B" w14:textId="77777777" w:rsidR="008B0C7D" w:rsidRDefault="00162F2E" w:rsidP="00F65638">
            <w:pPr>
              <w:spacing w:after="0"/>
              <w:contextualSpacing/>
              <w:jc w:val="right"/>
            </w:pPr>
            <w:r w:rsidRPr="16993C49">
              <w:rPr>
                <w:rFonts w:eastAsia="Arial" w:cs="Arial"/>
                <w:color w:val="000000" w:themeColor="text1"/>
                <w:sz w:val="20"/>
                <w:szCs w:val="20"/>
              </w:rPr>
              <w:t>0.781</w:t>
            </w:r>
          </w:p>
        </w:tc>
        <w:tc>
          <w:tcPr>
            <w:tcW w:w="1141" w:type="dxa"/>
            <w:tcBorders>
              <w:top w:val="single" w:sz="4" w:space="0" w:color="auto"/>
              <w:left w:val="single" w:sz="4" w:space="0" w:color="auto"/>
              <w:bottom w:val="single" w:sz="4" w:space="0" w:color="auto"/>
              <w:right w:val="single" w:sz="4" w:space="0" w:color="auto"/>
            </w:tcBorders>
            <w:vAlign w:val="center"/>
          </w:tcPr>
          <w:p w14:paraId="3FFEA8B9" w14:textId="77777777" w:rsidR="008B0C7D" w:rsidRDefault="00162F2E" w:rsidP="00F65638">
            <w:pPr>
              <w:spacing w:after="0"/>
              <w:contextualSpacing/>
              <w:jc w:val="right"/>
            </w:pPr>
            <w:r w:rsidRPr="16993C49">
              <w:rPr>
                <w:rFonts w:eastAsia="Arial" w:cs="Arial"/>
                <w:color w:val="000000" w:themeColor="text1"/>
                <w:sz w:val="20"/>
                <w:szCs w:val="20"/>
              </w:rPr>
              <w:t>0.655</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BA7EF" w14:textId="77777777" w:rsidR="008B0C7D" w:rsidRDefault="00162F2E" w:rsidP="00F65638">
            <w:pPr>
              <w:spacing w:after="0"/>
              <w:contextualSpacing/>
              <w:jc w:val="right"/>
            </w:pPr>
            <w:r w:rsidRPr="16993C49">
              <w:rPr>
                <w:rFonts w:eastAsia="Arial" w:cs="Arial"/>
                <w:color w:val="000000" w:themeColor="text1"/>
                <w:sz w:val="20"/>
                <w:szCs w:val="20"/>
              </w:rPr>
              <w:t>-0.126</w:t>
            </w:r>
          </w:p>
        </w:tc>
        <w:tc>
          <w:tcPr>
            <w:tcW w:w="1141" w:type="dxa"/>
            <w:tcBorders>
              <w:top w:val="single" w:sz="4" w:space="0" w:color="auto"/>
              <w:left w:val="single" w:sz="4" w:space="0" w:color="auto"/>
              <w:bottom w:val="single" w:sz="4" w:space="0" w:color="auto"/>
              <w:right w:val="single" w:sz="4" w:space="0" w:color="auto"/>
            </w:tcBorders>
            <w:vAlign w:val="center"/>
          </w:tcPr>
          <w:p w14:paraId="198656CA" w14:textId="77777777" w:rsidR="008B0C7D" w:rsidRDefault="00162F2E" w:rsidP="008605E8">
            <w:pPr>
              <w:spacing w:after="0"/>
              <w:contextualSpacing/>
              <w:jc w:val="right"/>
              <w:rPr>
                <w:rFonts w:eastAsia="Arial" w:cs="Arial"/>
                <w:color w:val="000000" w:themeColor="text1"/>
                <w:sz w:val="20"/>
                <w:szCs w:val="20"/>
              </w:rPr>
            </w:pPr>
            <w:r w:rsidRPr="16993C49">
              <w:rPr>
                <w:rFonts w:eastAsia="Arial" w:cs="Arial"/>
                <w:color w:val="000000" w:themeColor="text1"/>
                <w:sz w:val="20"/>
                <w:szCs w:val="20"/>
              </w:rPr>
              <w:t>-16.13%</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C4A7D" w14:textId="77777777" w:rsidR="008B0C7D" w:rsidRDefault="00162F2E" w:rsidP="00F65638">
            <w:pPr>
              <w:spacing w:after="0"/>
              <w:contextualSpacing/>
              <w:jc w:val="right"/>
            </w:pPr>
            <w:r w:rsidRPr="16993C49">
              <w:rPr>
                <w:rFonts w:eastAsia="Arial" w:cs="Arial"/>
                <w:sz w:val="20"/>
                <w:szCs w:val="20"/>
              </w:rPr>
              <w:t>-0.125</w:t>
            </w:r>
          </w:p>
        </w:tc>
      </w:tr>
      <w:tr w:rsidR="006E5B54" w14:paraId="4944F3AF" w14:textId="77777777" w:rsidTr="00572FD8">
        <w:trPr>
          <w:trHeight w:val="288"/>
        </w:trPr>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06AF7" w14:textId="77777777" w:rsidR="008B0C7D" w:rsidRDefault="00162F2E" w:rsidP="00704341">
            <w:pPr>
              <w:spacing w:after="0"/>
              <w:contextualSpacing/>
            </w:pPr>
            <w:r w:rsidRPr="16993C49">
              <w:rPr>
                <w:rFonts w:eastAsia="Arial" w:cs="Arial"/>
                <w:b/>
                <w:bCs/>
                <w:color w:val="000000" w:themeColor="text1"/>
                <w:sz w:val="20"/>
                <w:szCs w:val="20"/>
              </w:rPr>
              <w:t>Data</w:t>
            </w:r>
          </w:p>
        </w:tc>
        <w:tc>
          <w:tcPr>
            <w:tcW w:w="1379" w:type="dxa"/>
            <w:tcBorders>
              <w:top w:val="single" w:sz="4" w:space="0" w:color="auto"/>
              <w:left w:val="single" w:sz="4" w:space="0" w:color="auto"/>
              <w:bottom w:val="single" w:sz="4" w:space="0" w:color="auto"/>
              <w:right w:val="single" w:sz="4" w:space="0" w:color="auto"/>
            </w:tcBorders>
            <w:vAlign w:val="center"/>
          </w:tcPr>
          <w:p w14:paraId="61244305" w14:textId="77777777" w:rsidR="008B0C7D" w:rsidRDefault="00162F2E" w:rsidP="00F65638">
            <w:pPr>
              <w:spacing w:after="0"/>
              <w:contextualSpacing/>
              <w:jc w:val="right"/>
            </w:pPr>
            <w:r w:rsidRPr="16993C49">
              <w:rPr>
                <w:rFonts w:eastAsia="Arial" w:cs="Arial"/>
                <w:color w:val="000000" w:themeColor="text1"/>
                <w:sz w:val="20"/>
                <w:szCs w:val="20"/>
              </w:rPr>
              <w:t>4.426</w:t>
            </w:r>
          </w:p>
        </w:tc>
        <w:tc>
          <w:tcPr>
            <w:tcW w:w="1141" w:type="dxa"/>
            <w:tcBorders>
              <w:top w:val="single" w:sz="4" w:space="0" w:color="auto"/>
              <w:left w:val="single" w:sz="4" w:space="0" w:color="auto"/>
              <w:bottom w:val="single" w:sz="4" w:space="0" w:color="auto"/>
              <w:right w:val="single" w:sz="4" w:space="0" w:color="auto"/>
            </w:tcBorders>
            <w:vAlign w:val="center"/>
          </w:tcPr>
          <w:p w14:paraId="472C06FC" w14:textId="77777777" w:rsidR="008B0C7D" w:rsidRDefault="00162F2E" w:rsidP="00F65638">
            <w:pPr>
              <w:spacing w:after="0"/>
              <w:contextualSpacing/>
              <w:jc w:val="right"/>
            </w:pPr>
            <w:r w:rsidRPr="16993C49">
              <w:rPr>
                <w:rFonts w:eastAsia="Arial" w:cs="Arial"/>
                <w:color w:val="000000" w:themeColor="text1"/>
                <w:sz w:val="20"/>
                <w:szCs w:val="20"/>
              </w:rPr>
              <w:t>4.078</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4C829" w14:textId="77777777" w:rsidR="008B0C7D" w:rsidRDefault="00162F2E" w:rsidP="00F65638">
            <w:pPr>
              <w:spacing w:after="0"/>
              <w:contextualSpacing/>
              <w:jc w:val="right"/>
            </w:pPr>
            <w:r w:rsidRPr="16993C49">
              <w:rPr>
                <w:rFonts w:eastAsia="Arial" w:cs="Arial"/>
                <w:color w:val="000000" w:themeColor="text1"/>
                <w:sz w:val="20"/>
                <w:szCs w:val="20"/>
              </w:rPr>
              <w:t>-0.348</w:t>
            </w:r>
          </w:p>
        </w:tc>
        <w:tc>
          <w:tcPr>
            <w:tcW w:w="1141" w:type="dxa"/>
            <w:tcBorders>
              <w:top w:val="single" w:sz="4" w:space="0" w:color="auto"/>
              <w:left w:val="single" w:sz="4" w:space="0" w:color="auto"/>
              <w:bottom w:val="single" w:sz="4" w:space="0" w:color="auto"/>
              <w:right w:val="single" w:sz="4" w:space="0" w:color="auto"/>
            </w:tcBorders>
            <w:vAlign w:val="center"/>
          </w:tcPr>
          <w:p w14:paraId="5B4FCC32" w14:textId="77777777" w:rsidR="008B0C7D" w:rsidRDefault="00162F2E" w:rsidP="008605E8">
            <w:pPr>
              <w:spacing w:after="0"/>
              <w:contextualSpacing/>
              <w:jc w:val="right"/>
              <w:rPr>
                <w:rFonts w:eastAsia="Arial" w:cs="Arial"/>
                <w:color w:val="000000" w:themeColor="text1"/>
                <w:sz w:val="20"/>
                <w:szCs w:val="20"/>
              </w:rPr>
            </w:pPr>
            <w:r w:rsidRPr="16993C49">
              <w:rPr>
                <w:rFonts w:eastAsia="Arial" w:cs="Arial"/>
                <w:color w:val="000000" w:themeColor="text1"/>
                <w:sz w:val="20"/>
                <w:szCs w:val="20"/>
              </w:rPr>
              <w:t>-7.86%</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98B62" w14:textId="77777777" w:rsidR="008B0C7D" w:rsidRDefault="00162F2E" w:rsidP="00F65638">
            <w:pPr>
              <w:spacing w:after="0"/>
              <w:contextualSpacing/>
              <w:jc w:val="right"/>
            </w:pPr>
            <w:r w:rsidRPr="16993C49">
              <w:rPr>
                <w:rFonts w:eastAsia="Arial" w:cs="Arial"/>
                <w:sz w:val="20"/>
                <w:szCs w:val="20"/>
              </w:rPr>
              <w:t>-0.274</w:t>
            </w:r>
          </w:p>
        </w:tc>
      </w:tr>
      <w:tr w:rsidR="006E5B54" w14:paraId="43BEA1FA" w14:textId="77777777" w:rsidTr="00572FD8">
        <w:trPr>
          <w:trHeight w:val="288"/>
        </w:trPr>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56C8B" w14:textId="77777777" w:rsidR="008B0C7D" w:rsidRDefault="00162F2E" w:rsidP="00704341">
            <w:pPr>
              <w:spacing w:after="0"/>
              <w:contextualSpacing/>
            </w:pPr>
            <w:r w:rsidRPr="16993C49">
              <w:rPr>
                <w:rFonts w:eastAsia="Arial" w:cs="Arial"/>
                <w:b/>
                <w:bCs/>
                <w:color w:val="000000" w:themeColor="text1"/>
                <w:sz w:val="20"/>
                <w:szCs w:val="20"/>
              </w:rPr>
              <w:lastRenderedPageBreak/>
              <w:t>Total</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206E3" w14:textId="77777777" w:rsidR="008B0C7D" w:rsidRDefault="00162F2E" w:rsidP="00F65638">
            <w:pPr>
              <w:spacing w:after="0"/>
              <w:contextualSpacing/>
              <w:jc w:val="right"/>
            </w:pPr>
            <w:r w:rsidRPr="16993C49">
              <w:rPr>
                <w:rFonts w:eastAsia="Arial" w:cs="Arial"/>
                <w:b/>
                <w:bCs/>
                <w:color w:val="000000" w:themeColor="text1"/>
                <w:sz w:val="20"/>
                <w:szCs w:val="20"/>
              </w:rPr>
              <w:t>31.969</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EE5A4" w14:textId="77777777" w:rsidR="008B0C7D" w:rsidRDefault="00162F2E" w:rsidP="00F65638">
            <w:pPr>
              <w:spacing w:after="0"/>
              <w:contextualSpacing/>
              <w:jc w:val="right"/>
            </w:pPr>
            <w:r w:rsidRPr="16993C49">
              <w:rPr>
                <w:rFonts w:eastAsia="Arial" w:cs="Arial"/>
                <w:b/>
                <w:bCs/>
                <w:color w:val="000000" w:themeColor="text1"/>
                <w:sz w:val="20"/>
                <w:szCs w:val="20"/>
              </w:rPr>
              <w:t>27.100</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CA0BD" w14:textId="77777777" w:rsidR="008B0C7D" w:rsidRDefault="00162F2E" w:rsidP="00F65638">
            <w:pPr>
              <w:spacing w:after="0"/>
              <w:contextualSpacing/>
              <w:jc w:val="right"/>
            </w:pPr>
            <w:r w:rsidRPr="16993C49">
              <w:rPr>
                <w:rFonts w:eastAsia="Arial" w:cs="Arial"/>
                <w:b/>
                <w:bCs/>
                <w:color w:val="000000" w:themeColor="text1"/>
                <w:sz w:val="20"/>
                <w:szCs w:val="20"/>
              </w:rPr>
              <w:t>-4.869</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F5C88" w14:textId="77777777" w:rsidR="008B0C7D" w:rsidRDefault="00162F2E" w:rsidP="008605E8">
            <w:pPr>
              <w:spacing w:after="0"/>
              <w:contextualSpacing/>
              <w:jc w:val="right"/>
              <w:rPr>
                <w:rFonts w:eastAsia="Arial" w:cs="Arial"/>
                <w:b/>
                <w:bCs/>
                <w:color w:val="000000" w:themeColor="text1"/>
                <w:sz w:val="20"/>
                <w:szCs w:val="20"/>
              </w:rPr>
            </w:pPr>
            <w:r w:rsidRPr="16993C49">
              <w:rPr>
                <w:rFonts w:eastAsia="Arial" w:cs="Arial"/>
                <w:b/>
                <w:bCs/>
                <w:color w:val="000000" w:themeColor="text1"/>
                <w:sz w:val="20"/>
                <w:szCs w:val="20"/>
              </w:rPr>
              <w:t>-15.23%</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DC07F" w14:textId="77777777" w:rsidR="008B0C7D" w:rsidRDefault="00162F2E" w:rsidP="00F65638">
            <w:pPr>
              <w:spacing w:after="0"/>
              <w:contextualSpacing/>
              <w:jc w:val="right"/>
            </w:pPr>
            <w:r w:rsidRPr="16993C49">
              <w:rPr>
                <w:rFonts w:eastAsia="Arial" w:cs="Arial"/>
                <w:b/>
                <w:bCs/>
                <w:sz w:val="20"/>
                <w:szCs w:val="20"/>
              </w:rPr>
              <w:t>-2.075</w:t>
            </w:r>
          </w:p>
        </w:tc>
      </w:tr>
      <w:tr w:rsidR="006E5B54" w14:paraId="438F9CEA" w14:textId="77777777" w:rsidTr="00572FD8">
        <w:trPr>
          <w:trHeight w:val="288"/>
        </w:trPr>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8C57F" w14:textId="77777777" w:rsidR="008B0C7D" w:rsidRDefault="00162F2E" w:rsidP="00F65638">
            <w:pPr>
              <w:spacing w:after="0"/>
              <w:contextualSpacing/>
              <w:jc w:val="left"/>
            </w:pPr>
            <w:r w:rsidRPr="16993C49">
              <w:rPr>
                <w:rFonts w:eastAsia="Arial" w:cs="Arial"/>
                <w:b/>
                <w:bCs/>
                <w:color w:val="000000" w:themeColor="text1"/>
                <w:sz w:val="20"/>
                <w:szCs w:val="20"/>
              </w:rPr>
              <w:t xml:space="preserve">Share of unallocated </w:t>
            </w:r>
            <w:r w:rsidR="0026517A">
              <w:rPr>
                <w:rFonts w:eastAsia="Arial" w:cs="Arial"/>
                <w:b/>
                <w:bCs/>
                <w:color w:val="000000" w:themeColor="text1"/>
                <w:sz w:val="20"/>
                <w:szCs w:val="20"/>
              </w:rPr>
              <w:t>C</w:t>
            </w:r>
            <w:r w:rsidR="00393BCE">
              <w:rPr>
                <w:rFonts w:eastAsia="Arial" w:cs="Arial"/>
                <w:b/>
                <w:bCs/>
                <w:color w:val="000000" w:themeColor="text1"/>
                <w:sz w:val="20"/>
                <w:szCs w:val="20"/>
              </w:rPr>
              <w:t>ovid</w:t>
            </w:r>
            <w:r w:rsidRPr="16993C49">
              <w:rPr>
                <w:rFonts w:eastAsia="Arial" w:cs="Arial"/>
                <w:b/>
                <w:bCs/>
                <w:color w:val="000000" w:themeColor="text1"/>
                <w:sz w:val="20"/>
                <w:szCs w:val="20"/>
              </w:rPr>
              <w:t>-19 emergency monies</w:t>
            </w:r>
          </w:p>
        </w:tc>
        <w:tc>
          <w:tcPr>
            <w:tcW w:w="1379" w:type="dxa"/>
            <w:tcBorders>
              <w:top w:val="single" w:sz="4" w:space="0" w:color="auto"/>
              <w:left w:val="single" w:sz="4" w:space="0" w:color="auto"/>
              <w:bottom w:val="single" w:sz="4" w:space="0" w:color="auto"/>
              <w:right w:val="single" w:sz="4" w:space="0" w:color="auto"/>
            </w:tcBorders>
            <w:vAlign w:val="center"/>
          </w:tcPr>
          <w:p w14:paraId="7F9D4C29" w14:textId="77777777" w:rsidR="008B0C7D" w:rsidRDefault="00162F2E" w:rsidP="00F65638">
            <w:pPr>
              <w:spacing w:after="0"/>
              <w:contextualSpacing/>
              <w:jc w:val="right"/>
            </w:pPr>
            <w:r w:rsidRPr="16993C49">
              <w:rPr>
                <w:rFonts w:eastAsia="Arial" w:cs="Arial"/>
                <w:color w:val="000000" w:themeColor="text1"/>
                <w:sz w:val="20"/>
                <w:szCs w:val="20"/>
              </w:rPr>
              <w:t>0.000</w:t>
            </w:r>
          </w:p>
        </w:tc>
        <w:tc>
          <w:tcPr>
            <w:tcW w:w="1141" w:type="dxa"/>
            <w:tcBorders>
              <w:top w:val="single" w:sz="4" w:space="0" w:color="auto"/>
              <w:left w:val="single" w:sz="4" w:space="0" w:color="auto"/>
              <w:bottom w:val="single" w:sz="4" w:space="0" w:color="auto"/>
              <w:right w:val="single" w:sz="4" w:space="0" w:color="auto"/>
            </w:tcBorders>
            <w:vAlign w:val="center"/>
          </w:tcPr>
          <w:p w14:paraId="507FB57B" w14:textId="77777777" w:rsidR="008B0C7D" w:rsidRDefault="00162F2E" w:rsidP="00F65638">
            <w:pPr>
              <w:spacing w:after="0"/>
              <w:contextualSpacing/>
              <w:jc w:val="right"/>
            </w:pPr>
            <w:r w:rsidRPr="16993C49">
              <w:rPr>
                <w:rFonts w:eastAsia="Arial" w:cs="Arial"/>
                <w:color w:val="000000" w:themeColor="text1"/>
                <w:sz w:val="20"/>
                <w:szCs w:val="20"/>
              </w:rPr>
              <w:t>0.000</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221CC" w14:textId="77777777" w:rsidR="008B0C7D" w:rsidRDefault="00162F2E" w:rsidP="00F65638">
            <w:pPr>
              <w:spacing w:after="0"/>
              <w:contextualSpacing/>
              <w:jc w:val="right"/>
            </w:pPr>
            <w:r w:rsidRPr="16993C49">
              <w:rPr>
                <w:rFonts w:eastAsia="Arial" w:cs="Arial"/>
                <w:color w:val="000000" w:themeColor="text1"/>
                <w:sz w:val="20"/>
                <w:szCs w:val="20"/>
              </w:rPr>
              <w:t>0.000</w:t>
            </w:r>
          </w:p>
        </w:tc>
        <w:tc>
          <w:tcPr>
            <w:tcW w:w="1141" w:type="dxa"/>
            <w:tcBorders>
              <w:top w:val="single" w:sz="4" w:space="0" w:color="auto"/>
              <w:left w:val="single" w:sz="4" w:space="0" w:color="auto"/>
              <w:bottom w:val="single" w:sz="4" w:space="0" w:color="auto"/>
              <w:right w:val="single" w:sz="4" w:space="0" w:color="auto"/>
            </w:tcBorders>
            <w:vAlign w:val="center"/>
          </w:tcPr>
          <w:p w14:paraId="25B78174" w14:textId="77777777" w:rsidR="008B0C7D" w:rsidRDefault="008B0C7D" w:rsidP="00F65638">
            <w:pPr>
              <w:spacing w:after="0"/>
              <w:contextualSpacing/>
              <w:jc w:val="right"/>
            </w:pP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F9AA" w14:textId="77777777" w:rsidR="008B0C7D" w:rsidRDefault="00162F2E" w:rsidP="00F65638">
            <w:pPr>
              <w:spacing w:after="0"/>
              <w:contextualSpacing/>
              <w:jc w:val="right"/>
            </w:pPr>
            <w:r w:rsidRPr="16993C49">
              <w:rPr>
                <w:rFonts w:eastAsia="Arial" w:cs="Arial"/>
                <w:sz w:val="20"/>
                <w:szCs w:val="20"/>
              </w:rPr>
              <w:t>0.000</w:t>
            </w:r>
          </w:p>
        </w:tc>
      </w:tr>
      <w:tr w:rsidR="006E5B54" w14:paraId="0A3E8D4F" w14:textId="77777777" w:rsidTr="00572FD8">
        <w:trPr>
          <w:trHeight w:val="288"/>
        </w:trPr>
        <w:tc>
          <w:tcPr>
            <w:tcW w:w="3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392A6" w14:textId="77777777" w:rsidR="008B0C7D" w:rsidRDefault="00162F2E" w:rsidP="00704341">
            <w:pPr>
              <w:spacing w:after="0"/>
              <w:contextualSpacing/>
            </w:pPr>
            <w:r w:rsidRPr="16993C49">
              <w:rPr>
                <w:rFonts w:eastAsia="Arial" w:cs="Arial"/>
                <w:b/>
                <w:bCs/>
                <w:color w:val="000000" w:themeColor="text1"/>
                <w:sz w:val="20"/>
                <w:szCs w:val="20"/>
              </w:rPr>
              <w:t>Total Digital Services</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DDBC0" w14:textId="77777777" w:rsidR="008B0C7D" w:rsidRDefault="00162F2E" w:rsidP="00F65638">
            <w:pPr>
              <w:spacing w:after="0"/>
              <w:contextualSpacing/>
              <w:jc w:val="right"/>
            </w:pPr>
            <w:r w:rsidRPr="16993C49">
              <w:rPr>
                <w:rFonts w:eastAsia="Arial" w:cs="Arial"/>
                <w:b/>
                <w:bCs/>
                <w:color w:val="000000" w:themeColor="text1"/>
                <w:sz w:val="20"/>
                <w:szCs w:val="20"/>
              </w:rPr>
              <w:t>31.969</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40886" w14:textId="77777777" w:rsidR="008B0C7D" w:rsidRDefault="00162F2E" w:rsidP="00F65638">
            <w:pPr>
              <w:spacing w:after="0"/>
              <w:contextualSpacing/>
              <w:jc w:val="right"/>
            </w:pPr>
            <w:r w:rsidRPr="16993C49">
              <w:rPr>
                <w:rFonts w:eastAsia="Arial" w:cs="Arial"/>
                <w:b/>
                <w:bCs/>
                <w:color w:val="000000" w:themeColor="text1"/>
                <w:sz w:val="20"/>
                <w:szCs w:val="20"/>
              </w:rPr>
              <w:t>27.100</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7EA3A" w14:textId="77777777" w:rsidR="008B0C7D" w:rsidRDefault="00162F2E" w:rsidP="00F65638">
            <w:pPr>
              <w:spacing w:after="0"/>
              <w:contextualSpacing/>
              <w:jc w:val="right"/>
            </w:pPr>
            <w:r w:rsidRPr="16993C49">
              <w:rPr>
                <w:rFonts w:eastAsia="Arial" w:cs="Arial"/>
                <w:b/>
                <w:bCs/>
                <w:color w:val="000000" w:themeColor="text1"/>
                <w:sz w:val="20"/>
                <w:szCs w:val="20"/>
              </w:rPr>
              <w:t>-4.869</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17C20" w14:textId="77777777" w:rsidR="008B0C7D" w:rsidRDefault="00162F2E" w:rsidP="008605E8">
            <w:pPr>
              <w:spacing w:after="0"/>
              <w:contextualSpacing/>
              <w:jc w:val="right"/>
              <w:rPr>
                <w:rFonts w:eastAsia="Arial" w:cs="Arial"/>
                <w:b/>
                <w:bCs/>
                <w:color w:val="000000" w:themeColor="text1"/>
                <w:sz w:val="20"/>
                <w:szCs w:val="20"/>
              </w:rPr>
            </w:pPr>
            <w:r w:rsidRPr="16993C49">
              <w:rPr>
                <w:rFonts w:eastAsia="Arial" w:cs="Arial"/>
                <w:b/>
                <w:bCs/>
                <w:color w:val="000000" w:themeColor="text1"/>
                <w:sz w:val="20"/>
                <w:szCs w:val="20"/>
              </w:rPr>
              <w:t>-15.23%</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3B548" w14:textId="77777777" w:rsidR="008B0C7D" w:rsidRDefault="00162F2E" w:rsidP="00F65638">
            <w:pPr>
              <w:spacing w:after="0"/>
              <w:contextualSpacing/>
              <w:jc w:val="right"/>
            </w:pPr>
            <w:r w:rsidRPr="16993C49">
              <w:rPr>
                <w:rFonts w:eastAsia="Arial" w:cs="Arial"/>
                <w:b/>
                <w:bCs/>
                <w:sz w:val="20"/>
                <w:szCs w:val="20"/>
              </w:rPr>
              <w:t>-2.075</w:t>
            </w:r>
          </w:p>
        </w:tc>
      </w:tr>
    </w:tbl>
    <w:p w14:paraId="1CBFD6CF" w14:textId="77777777" w:rsidR="008B0C7D" w:rsidRDefault="008B0C7D" w:rsidP="008B0C7D">
      <w:pPr>
        <w:pStyle w:val="paragraph"/>
        <w:spacing w:before="0" w:beforeAutospacing="0" w:after="0" w:afterAutospacing="0"/>
        <w:contextualSpacing/>
        <w:jc w:val="both"/>
        <w:rPr>
          <w:rStyle w:val="eop"/>
          <w:rFonts w:ascii="Arial" w:eastAsia="Calibri" w:hAnsi="Arial" w:cs="Helvetica-Light"/>
          <w:color w:val="000000"/>
          <w:lang w:eastAsia="en-US"/>
        </w:rPr>
      </w:pPr>
    </w:p>
    <w:p w14:paraId="06A08524" w14:textId="77777777" w:rsidR="008B0C7D" w:rsidRPr="008B32C3" w:rsidRDefault="00162F2E" w:rsidP="008B0C7D">
      <w:pPr>
        <w:spacing w:after="0"/>
        <w:contextualSpacing/>
        <w:rPr>
          <w:rFonts w:ascii="Symbol" w:eastAsia="Symbol" w:hAnsi="Symbol" w:cs="Symbol"/>
          <w:color w:val="000000" w:themeColor="text1"/>
        </w:rPr>
      </w:pPr>
      <w:r w:rsidRPr="008B32C3">
        <w:rPr>
          <w:rFonts w:eastAsia="Arial" w:cs="Arial"/>
          <w:color w:val="000000" w:themeColor="text1"/>
        </w:rPr>
        <w:t>The total net approved budget for Digital Services in 2021/22 is £31.969m.  The service underspent by £4.869m in 2021/22.</w:t>
      </w:r>
      <w:r>
        <w:rPr>
          <w:rFonts w:eastAsia="Arial" w:cs="Arial"/>
          <w:color w:val="000000" w:themeColor="text1"/>
        </w:rPr>
        <w:t xml:space="preserve">  </w:t>
      </w:r>
      <w:r w:rsidRPr="008B32C3">
        <w:rPr>
          <w:rFonts w:eastAsia="Arial" w:cs="Arial"/>
          <w:color w:val="000000" w:themeColor="text1"/>
        </w:rPr>
        <w:t>The most significant variances</w:t>
      </w:r>
      <w:r>
        <w:rPr>
          <w:rFonts w:eastAsia="Arial" w:cs="Arial"/>
          <w:color w:val="000000" w:themeColor="text1"/>
        </w:rPr>
        <w:t xml:space="preserve"> across the wider Digital Service</w:t>
      </w:r>
      <w:r w:rsidRPr="008B32C3">
        <w:rPr>
          <w:rFonts w:eastAsia="Arial" w:cs="Arial"/>
          <w:color w:val="000000" w:themeColor="text1"/>
        </w:rPr>
        <w:t xml:space="preserve"> are explained below. </w:t>
      </w:r>
    </w:p>
    <w:p w14:paraId="5720638F" w14:textId="77777777" w:rsidR="008B0C7D" w:rsidRPr="00812801" w:rsidRDefault="008B0C7D" w:rsidP="008B0C7D">
      <w:pPr>
        <w:pStyle w:val="ListParagraph"/>
        <w:spacing w:after="0"/>
        <w:rPr>
          <w:rFonts w:ascii="Symbol" w:eastAsia="Symbol" w:hAnsi="Symbol" w:cs="Symbol"/>
          <w:color w:val="000000" w:themeColor="text1"/>
        </w:rPr>
      </w:pPr>
    </w:p>
    <w:p w14:paraId="1098489B" w14:textId="77777777" w:rsidR="008B0C7D" w:rsidRPr="008B32C3" w:rsidRDefault="00162F2E" w:rsidP="008B0C7D">
      <w:pPr>
        <w:spacing w:after="0"/>
        <w:rPr>
          <w:rFonts w:eastAsia="Arial" w:cs="Arial"/>
          <w:color w:val="000000" w:themeColor="text1"/>
        </w:rPr>
      </w:pPr>
      <w:r w:rsidRPr="008B32C3">
        <w:rPr>
          <w:rFonts w:eastAsia="Arial" w:cs="Arial"/>
          <w:color w:val="000000" w:themeColor="text1"/>
        </w:rPr>
        <w:t>Underspends of c£2.200m relate to staff costs and vacant posts offset by c£600,000 to cover the cost of extending the use of contractors and commissioning work from external providers/consultants.  The service continues to experience difficulties in recruiting staff.</w:t>
      </w:r>
    </w:p>
    <w:p w14:paraId="3D262C1D" w14:textId="77777777" w:rsidR="008B0C7D" w:rsidRPr="00812801" w:rsidRDefault="008B0C7D" w:rsidP="008B0C7D">
      <w:pPr>
        <w:pStyle w:val="ListParagraph"/>
        <w:spacing w:after="0"/>
        <w:ind w:left="360"/>
        <w:rPr>
          <w:rFonts w:ascii="Symbol" w:eastAsia="Symbol" w:hAnsi="Symbol" w:cs="Symbol"/>
          <w:color w:val="000000" w:themeColor="text1"/>
        </w:rPr>
      </w:pPr>
    </w:p>
    <w:p w14:paraId="7C772B26" w14:textId="77777777" w:rsidR="008B0C7D" w:rsidRPr="008B32C3" w:rsidRDefault="00162F2E" w:rsidP="008B0C7D">
      <w:pPr>
        <w:spacing w:after="0"/>
        <w:rPr>
          <w:rFonts w:eastAsia="Arial" w:cs="Arial"/>
          <w:color w:val="000000" w:themeColor="text1"/>
        </w:rPr>
      </w:pPr>
      <w:r w:rsidRPr="008B32C3">
        <w:rPr>
          <w:rFonts w:eastAsia="Arial" w:cs="Arial"/>
          <w:color w:val="000000" w:themeColor="text1"/>
        </w:rPr>
        <w:t>Not all work related to the implementation of M365 has been completed with further phases ongoing and some audio licences were provided free of charge in 2021/22, resulting in a non-recurrent underspend of c£780,000.</w:t>
      </w:r>
    </w:p>
    <w:p w14:paraId="02BF501D" w14:textId="77777777" w:rsidR="008B0C7D" w:rsidRPr="00812801" w:rsidRDefault="008B0C7D" w:rsidP="008B0C7D">
      <w:pPr>
        <w:pStyle w:val="ListParagraph"/>
        <w:spacing w:after="0"/>
        <w:ind w:left="360"/>
        <w:rPr>
          <w:rFonts w:ascii="Symbol" w:eastAsia="Symbol" w:hAnsi="Symbol" w:cs="Symbol"/>
          <w:color w:val="000000" w:themeColor="text1"/>
        </w:rPr>
      </w:pPr>
    </w:p>
    <w:p w14:paraId="00710D08" w14:textId="77777777" w:rsidR="008B0C7D" w:rsidRPr="008B32C3" w:rsidRDefault="00162F2E" w:rsidP="008B0C7D">
      <w:pPr>
        <w:spacing w:after="0"/>
        <w:rPr>
          <w:rFonts w:eastAsia="Arial" w:cs="Arial"/>
          <w:color w:val="000000" w:themeColor="text1"/>
        </w:rPr>
      </w:pPr>
      <w:r w:rsidRPr="008B32C3">
        <w:rPr>
          <w:rFonts w:eastAsia="Arial" w:cs="Arial"/>
          <w:color w:val="000000" w:themeColor="text1"/>
        </w:rPr>
        <w:t>As part of the transition a number of historic BTLS P</w:t>
      </w:r>
      <w:r w:rsidR="00771451">
        <w:rPr>
          <w:rFonts w:eastAsia="Arial" w:cs="Arial"/>
          <w:color w:val="000000" w:themeColor="text1"/>
        </w:rPr>
        <w:t xml:space="preserve">urchase </w:t>
      </w:r>
      <w:r w:rsidRPr="008B32C3">
        <w:rPr>
          <w:rFonts w:eastAsia="Arial" w:cs="Arial"/>
          <w:color w:val="000000" w:themeColor="text1"/>
        </w:rPr>
        <w:t>O</w:t>
      </w:r>
      <w:r w:rsidR="00771451">
        <w:rPr>
          <w:rFonts w:eastAsia="Arial" w:cs="Arial"/>
          <w:color w:val="000000" w:themeColor="text1"/>
        </w:rPr>
        <w:t>rder</w:t>
      </w:r>
      <w:r w:rsidRPr="008B32C3">
        <w:rPr>
          <w:rFonts w:eastAsia="Arial" w:cs="Arial"/>
          <w:color w:val="000000" w:themeColor="text1"/>
        </w:rPr>
        <w:t xml:space="preserve">'s previously receipted by other services in 2020/21 were closed down in 2021/22.  This resulted in credits in 2021/22 which offset charges in 2020/21, and consequently a non-recurrent underspend of £355,000 in the current financial year.   </w:t>
      </w:r>
    </w:p>
    <w:p w14:paraId="0C0D8AA2" w14:textId="77777777" w:rsidR="008B0C7D" w:rsidRPr="00812801" w:rsidRDefault="008B0C7D" w:rsidP="008B0C7D">
      <w:pPr>
        <w:pStyle w:val="ListParagraph"/>
        <w:spacing w:after="0"/>
        <w:ind w:left="360"/>
        <w:rPr>
          <w:rFonts w:ascii="Symbol" w:eastAsia="Symbol" w:hAnsi="Symbol" w:cs="Symbol"/>
          <w:color w:val="000000" w:themeColor="text1"/>
        </w:rPr>
      </w:pPr>
    </w:p>
    <w:p w14:paraId="7E8C1F17" w14:textId="77777777" w:rsidR="008B0C7D" w:rsidRPr="008B32C3" w:rsidRDefault="00162F2E" w:rsidP="008B0C7D">
      <w:pPr>
        <w:spacing w:after="0"/>
        <w:rPr>
          <w:rFonts w:eastAsia="Arial" w:cs="Arial"/>
          <w:color w:val="000000" w:themeColor="text1"/>
        </w:rPr>
      </w:pPr>
      <w:r w:rsidRPr="008B32C3">
        <w:rPr>
          <w:rFonts w:eastAsia="Arial" w:cs="Arial"/>
          <w:color w:val="000000" w:themeColor="text1"/>
        </w:rPr>
        <w:t>Underspends of c£220,000 relate to traded activity and in particular Education Services.</w:t>
      </w:r>
    </w:p>
    <w:p w14:paraId="6091B5E9" w14:textId="77777777" w:rsidR="008B0C7D" w:rsidRPr="00812801" w:rsidRDefault="008B0C7D" w:rsidP="008B0C7D">
      <w:pPr>
        <w:pStyle w:val="ListParagraph"/>
        <w:spacing w:after="0"/>
        <w:ind w:left="360"/>
        <w:rPr>
          <w:rFonts w:ascii="Symbol" w:eastAsia="Symbol" w:hAnsi="Symbol" w:cs="Symbol"/>
          <w:color w:val="000000" w:themeColor="text1"/>
        </w:rPr>
      </w:pPr>
    </w:p>
    <w:p w14:paraId="50FCA81A" w14:textId="77777777" w:rsidR="008B0C7D" w:rsidRPr="008B32C3" w:rsidRDefault="00162F2E" w:rsidP="008B0C7D">
      <w:pPr>
        <w:spacing w:after="0"/>
        <w:rPr>
          <w:rFonts w:eastAsia="Arial" w:cs="Arial"/>
          <w:color w:val="000000" w:themeColor="text1"/>
        </w:rPr>
      </w:pPr>
      <w:r w:rsidRPr="008B32C3">
        <w:rPr>
          <w:rFonts w:eastAsia="Arial" w:cs="Arial"/>
          <w:color w:val="000000" w:themeColor="text1"/>
        </w:rPr>
        <w:t>Underspends of c£220,000 relate to document handling non staff costs and in particular print and mail costs largely due to changes in ways of working during the pandemic.  Whether these underspends are recurrent will depend on future ways of working.</w:t>
      </w:r>
    </w:p>
    <w:p w14:paraId="07C9BBF9" w14:textId="77777777" w:rsidR="008B0C7D" w:rsidRPr="00812801" w:rsidRDefault="008B0C7D" w:rsidP="008B0C7D">
      <w:pPr>
        <w:pStyle w:val="ListParagraph"/>
        <w:spacing w:after="0"/>
        <w:ind w:left="360"/>
        <w:rPr>
          <w:rFonts w:ascii="Symbol" w:eastAsia="Symbol" w:hAnsi="Symbol" w:cs="Symbol"/>
          <w:color w:val="000000" w:themeColor="text1"/>
        </w:rPr>
      </w:pPr>
    </w:p>
    <w:p w14:paraId="613D00B8" w14:textId="77777777" w:rsidR="008B0C7D" w:rsidRPr="008B32C3" w:rsidRDefault="00162F2E" w:rsidP="008B0C7D">
      <w:pPr>
        <w:spacing w:after="0"/>
        <w:rPr>
          <w:rFonts w:eastAsia="Arial" w:cs="Arial"/>
          <w:color w:val="000000" w:themeColor="text1"/>
        </w:rPr>
      </w:pPr>
      <w:r w:rsidRPr="008B32C3">
        <w:rPr>
          <w:rFonts w:eastAsia="Arial" w:cs="Arial"/>
          <w:color w:val="000000" w:themeColor="text1"/>
        </w:rPr>
        <w:t>The majority of £2.100m of other underspends across the service relate to renewals/contracts with third parties for maintenance and support, licencing, etc.</w:t>
      </w:r>
    </w:p>
    <w:p w14:paraId="7C5174B2" w14:textId="77777777" w:rsidR="008B0C7D" w:rsidRPr="00812801" w:rsidRDefault="008B0C7D" w:rsidP="008B0C7D">
      <w:pPr>
        <w:spacing w:after="0"/>
        <w:contextualSpacing/>
        <w:rPr>
          <w:rFonts w:ascii="Symbol" w:eastAsia="Symbol" w:hAnsi="Symbol" w:cs="Symbol"/>
          <w:color w:val="000000" w:themeColor="text1"/>
        </w:rPr>
      </w:pPr>
    </w:p>
    <w:p w14:paraId="5BF6D968" w14:textId="77777777" w:rsidR="008B0C7D" w:rsidRPr="008B32C3" w:rsidRDefault="00162F2E" w:rsidP="008B0C7D">
      <w:pPr>
        <w:spacing w:after="0"/>
        <w:rPr>
          <w:rFonts w:eastAsia="Arial" w:cs="Arial"/>
          <w:color w:val="000000" w:themeColor="text1"/>
        </w:rPr>
      </w:pPr>
      <w:r w:rsidRPr="008B32C3">
        <w:rPr>
          <w:rFonts w:eastAsia="Arial" w:cs="Arial"/>
          <w:color w:val="000000" w:themeColor="text1"/>
        </w:rPr>
        <w:t>Overspends of c£400,000 relate to both one-off and recurring costs for ServiceNow, including a transfer to reserves of c£340,000 to fund one-off costs which will be incurred in 2022/23.  Whilst the majority of costs are covered by the Continuous Service Improvement (CSI) budget the shortfall is offset by underspends within the service in 2021/22.  ServiceNow is intended to deliver sustainable long-term efficiencies across the county council.</w:t>
      </w:r>
    </w:p>
    <w:p w14:paraId="27FF57A7" w14:textId="77777777" w:rsidR="008B0C7D" w:rsidRPr="00812801" w:rsidRDefault="008B0C7D" w:rsidP="008B0C7D">
      <w:pPr>
        <w:pStyle w:val="ListParagraph"/>
        <w:spacing w:after="0"/>
        <w:ind w:left="360"/>
        <w:rPr>
          <w:rFonts w:ascii="Symbol" w:eastAsia="Symbol" w:hAnsi="Symbol" w:cs="Symbol"/>
          <w:color w:val="000000" w:themeColor="text1"/>
        </w:rPr>
      </w:pPr>
    </w:p>
    <w:p w14:paraId="09D27897" w14:textId="77777777" w:rsidR="008B0C7D" w:rsidRPr="008B32C3" w:rsidRDefault="00162F2E" w:rsidP="008B0C7D">
      <w:pPr>
        <w:spacing w:after="0"/>
        <w:rPr>
          <w:rFonts w:ascii="Symbol" w:eastAsia="Symbol" w:hAnsi="Symbol" w:cs="Symbol"/>
          <w:color w:val="000000" w:themeColor="text1"/>
        </w:rPr>
      </w:pPr>
      <w:r w:rsidRPr="008B32C3">
        <w:rPr>
          <w:rFonts w:eastAsia="Arial" w:cs="Arial"/>
          <w:color w:val="000000" w:themeColor="text1"/>
        </w:rPr>
        <w:t xml:space="preserve">The outturn includes a transfer to reserves of c£2.800m for desktop and infrastructure refresh largely due to delays in delivery of equipment and therefore the rollout of desktop refresh and delays in delivering infrastructure refresh projects. </w:t>
      </w:r>
    </w:p>
    <w:p w14:paraId="6A68E0F1" w14:textId="77777777" w:rsidR="008B0C7D" w:rsidRPr="00812801" w:rsidRDefault="008B0C7D" w:rsidP="008B0C7D">
      <w:pPr>
        <w:pStyle w:val="ListParagraph"/>
        <w:spacing w:after="0"/>
        <w:ind w:left="360"/>
        <w:rPr>
          <w:rFonts w:ascii="Symbol" w:eastAsia="Symbol" w:hAnsi="Symbol" w:cs="Symbol"/>
          <w:color w:val="000000" w:themeColor="text1"/>
        </w:rPr>
      </w:pPr>
    </w:p>
    <w:p w14:paraId="548A5E35" w14:textId="77777777" w:rsidR="008B0C7D" w:rsidRPr="008B32C3" w:rsidRDefault="00162F2E" w:rsidP="008B0C7D">
      <w:pPr>
        <w:spacing w:after="0"/>
        <w:rPr>
          <w:rFonts w:ascii="Symbol" w:eastAsia="Symbol" w:hAnsi="Symbol" w:cs="Symbol"/>
          <w:color w:val="000000" w:themeColor="text1"/>
        </w:rPr>
      </w:pPr>
      <w:r w:rsidRPr="008B32C3">
        <w:rPr>
          <w:rFonts w:eastAsia="Arial" w:cs="Arial"/>
          <w:color w:val="000000" w:themeColor="text1"/>
        </w:rPr>
        <w:t xml:space="preserve">The outturn improved by c£2.800m compared to the forecast reported at quarter 3 predominantly due to increased underspends on renewals/contracts.  </w:t>
      </w:r>
    </w:p>
    <w:p w14:paraId="5B4CFD3B" w14:textId="6258B21A" w:rsidR="00D10794" w:rsidRDefault="00D10794" w:rsidP="00D10794">
      <w:pPr>
        <w:spacing w:after="0"/>
        <w:rPr>
          <w:rFonts w:eastAsia="Times New Roman" w:cs="Arial"/>
          <w:b/>
          <w:highlight w:val="yellow"/>
          <w:lang w:eastAsia="en-GB"/>
        </w:rPr>
      </w:pPr>
    </w:p>
    <w:p w14:paraId="7FB56802" w14:textId="6D640963" w:rsidR="00642D26" w:rsidRDefault="00642D26" w:rsidP="00D10794">
      <w:pPr>
        <w:spacing w:after="0"/>
        <w:rPr>
          <w:rFonts w:eastAsia="Times New Roman" w:cs="Arial"/>
          <w:b/>
          <w:highlight w:val="yellow"/>
          <w:lang w:eastAsia="en-GB"/>
        </w:rPr>
      </w:pPr>
    </w:p>
    <w:p w14:paraId="31C91420" w14:textId="0A15DE87" w:rsidR="00642D26" w:rsidRDefault="00642D26" w:rsidP="00D10794">
      <w:pPr>
        <w:spacing w:after="0"/>
        <w:rPr>
          <w:rFonts w:eastAsia="Times New Roman" w:cs="Arial"/>
          <w:b/>
          <w:highlight w:val="yellow"/>
          <w:lang w:eastAsia="en-GB"/>
        </w:rPr>
      </w:pPr>
    </w:p>
    <w:p w14:paraId="04069ECA" w14:textId="77777777" w:rsidR="00642D26" w:rsidRPr="00812801" w:rsidRDefault="00642D26" w:rsidP="00D10794">
      <w:pPr>
        <w:spacing w:after="0"/>
        <w:rPr>
          <w:rFonts w:eastAsia="Times New Roman" w:cs="Arial"/>
          <w:b/>
          <w:highlight w:val="yellow"/>
          <w:lang w:eastAsia="en-GB"/>
        </w:rPr>
      </w:pPr>
    </w:p>
    <w:p w14:paraId="339BA271" w14:textId="77777777" w:rsidR="00D10794" w:rsidRDefault="00162F2E" w:rsidP="00D10794">
      <w:pPr>
        <w:spacing w:after="0"/>
        <w:rPr>
          <w:rFonts w:cs="Arial"/>
          <w:b/>
        </w:rPr>
      </w:pPr>
      <w:r w:rsidRPr="007A01F4">
        <w:rPr>
          <w:rFonts w:eastAsia="Times New Roman" w:cs="Arial"/>
          <w:b/>
          <w:lang w:eastAsia="en-GB"/>
        </w:rPr>
        <w:lastRenderedPageBreak/>
        <w:t>3.12</w:t>
      </w:r>
      <w:r w:rsidRPr="007A01F4">
        <w:rPr>
          <w:rFonts w:eastAsia="Times New Roman" w:cs="Arial"/>
          <w:b/>
          <w:lang w:eastAsia="en-GB"/>
        </w:rPr>
        <w:tab/>
      </w:r>
      <w:r w:rsidRPr="007A01F4">
        <w:rPr>
          <w:rFonts w:cs="Arial"/>
          <w:b/>
        </w:rPr>
        <w:t>Chief Executive Services</w:t>
      </w:r>
    </w:p>
    <w:p w14:paraId="74B39301" w14:textId="77777777" w:rsidR="00C76601" w:rsidRDefault="00C76601" w:rsidP="00D10794">
      <w:pPr>
        <w:spacing w:after="0"/>
        <w:rPr>
          <w:rFonts w:cs="Arial"/>
          <w:b/>
        </w:rPr>
      </w:pP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4"/>
        <w:gridCol w:w="1104"/>
        <w:gridCol w:w="1149"/>
        <w:gridCol w:w="1160"/>
        <w:gridCol w:w="1521"/>
      </w:tblGrid>
      <w:tr w:rsidR="006E5B54" w14:paraId="763DBE80" w14:textId="77777777" w:rsidTr="00C904A5">
        <w:trPr>
          <w:trHeight w:val="675"/>
        </w:trPr>
        <w:tc>
          <w:tcPr>
            <w:tcW w:w="3554" w:type="dxa"/>
            <w:tcBorders>
              <w:top w:val="single" w:sz="6" w:space="0" w:color="auto"/>
              <w:left w:val="single" w:sz="6" w:space="0" w:color="auto"/>
              <w:bottom w:val="nil"/>
              <w:right w:val="single" w:sz="6" w:space="0" w:color="auto"/>
            </w:tcBorders>
            <w:shd w:val="clear" w:color="auto" w:fill="D9D9D9"/>
            <w:vAlign w:val="center"/>
            <w:hideMark/>
          </w:tcPr>
          <w:p w14:paraId="281B71EB" w14:textId="77777777" w:rsidR="00C76601" w:rsidRPr="00C76601" w:rsidRDefault="00162F2E" w:rsidP="00C76601">
            <w:pPr>
              <w:autoSpaceDE/>
              <w:autoSpaceDN/>
              <w:adjustRightInd/>
              <w:spacing w:after="0"/>
              <w:jc w:val="lef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Chief Executive Services</w:t>
            </w:r>
            <w:r w:rsidRPr="00C76601">
              <w:rPr>
                <w:rFonts w:eastAsia="Times New Roman" w:cs="Arial"/>
                <w:sz w:val="20"/>
                <w:szCs w:val="20"/>
                <w:lang w:eastAsia="en-GB"/>
              </w:rPr>
              <w:t> </w:t>
            </w:r>
          </w:p>
        </w:tc>
        <w:tc>
          <w:tcPr>
            <w:tcW w:w="1104" w:type="dxa"/>
            <w:tcBorders>
              <w:top w:val="single" w:sz="6" w:space="0" w:color="auto"/>
              <w:left w:val="nil"/>
              <w:bottom w:val="nil"/>
              <w:right w:val="single" w:sz="6" w:space="0" w:color="auto"/>
            </w:tcBorders>
            <w:shd w:val="clear" w:color="auto" w:fill="D9D9D9"/>
            <w:vAlign w:val="center"/>
            <w:hideMark/>
          </w:tcPr>
          <w:p w14:paraId="3FEE1538" w14:textId="77777777" w:rsidR="00C76601" w:rsidRPr="00C76601" w:rsidRDefault="00162F2E" w:rsidP="00C76601">
            <w:pPr>
              <w:autoSpaceDE/>
              <w:autoSpaceDN/>
              <w:adjustRightInd/>
              <w:spacing w:after="0"/>
              <w:jc w:val="center"/>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Approved Net Budget </w:t>
            </w:r>
            <w:r w:rsidRPr="00C76601">
              <w:rPr>
                <w:rFonts w:eastAsia="Times New Roman" w:cs="Arial"/>
                <w:sz w:val="20"/>
                <w:szCs w:val="20"/>
                <w:lang w:eastAsia="en-GB"/>
              </w:rPr>
              <w:t> </w:t>
            </w:r>
          </w:p>
        </w:tc>
        <w:tc>
          <w:tcPr>
            <w:tcW w:w="1149" w:type="dxa"/>
            <w:tcBorders>
              <w:top w:val="single" w:sz="6" w:space="0" w:color="auto"/>
              <w:left w:val="nil"/>
              <w:bottom w:val="nil"/>
              <w:right w:val="single" w:sz="6" w:space="0" w:color="auto"/>
            </w:tcBorders>
            <w:shd w:val="clear" w:color="auto" w:fill="D9D9D9"/>
            <w:vAlign w:val="center"/>
            <w:hideMark/>
          </w:tcPr>
          <w:p w14:paraId="2BB0DECF" w14:textId="77777777" w:rsidR="00C76601" w:rsidRPr="00C76601" w:rsidRDefault="00162F2E" w:rsidP="00C76601">
            <w:pPr>
              <w:autoSpaceDE/>
              <w:autoSpaceDN/>
              <w:adjustRightInd/>
              <w:spacing w:after="0"/>
              <w:jc w:val="center"/>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Net Outturn </w:t>
            </w:r>
            <w:r w:rsidRPr="00C76601">
              <w:rPr>
                <w:rFonts w:eastAsia="Times New Roman" w:cs="Arial"/>
                <w:sz w:val="20"/>
                <w:szCs w:val="20"/>
                <w:lang w:eastAsia="en-GB"/>
              </w:rPr>
              <w:t> </w:t>
            </w:r>
          </w:p>
        </w:tc>
        <w:tc>
          <w:tcPr>
            <w:tcW w:w="1160" w:type="dxa"/>
            <w:tcBorders>
              <w:top w:val="single" w:sz="6" w:space="0" w:color="auto"/>
              <w:left w:val="nil"/>
              <w:bottom w:val="nil"/>
              <w:right w:val="single" w:sz="6" w:space="0" w:color="auto"/>
            </w:tcBorders>
            <w:shd w:val="clear" w:color="auto" w:fill="D9D9D9"/>
            <w:vAlign w:val="center"/>
            <w:hideMark/>
          </w:tcPr>
          <w:p w14:paraId="3B608065" w14:textId="77777777" w:rsidR="00C76601" w:rsidRPr="00C76601" w:rsidRDefault="00162F2E" w:rsidP="00C76601">
            <w:pPr>
              <w:autoSpaceDE/>
              <w:autoSpaceDN/>
              <w:adjustRightInd/>
              <w:spacing w:after="0"/>
              <w:jc w:val="center"/>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Net Outturn Variance</w:t>
            </w:r>
            <w:r w:rsidRPr="00C76601">
              <w:rPr>
                <w:rFonts w:eastAsia="Times New Roman" w:cs="Arial"/>
                <w:sz w:val="20"/>
                <w:szCs w:val="20"/>
                <w:lang w:eastAsia="en-GB"/>
              </w:rPr>
              <w:t> </w:t>
            </w:r>
          </w:p>
        </w:tc>
        <w:tc>
          <w:tcPr>
            <w:tcW w:w="1521" w:type="dxa"/>
            <w:tcBorders>
              <w:top w:val="single" w:sz="6" w:space="0" w:color="auto"/>
              <w:left w:val="nil"/>
              <w:bottom w:val="nil"/>
              <w:right w:val="single" w:sz="6" w:space="0" w:color="auto"/>
            </w:tcBorders>
            <w:shd w:val="clear" w:color="auto" w:fill="D9D9D9"/>
            <w:vAlign w:val="center"/>
            <w:hideMark/>
          </w:tcPr>
          <w:p w14:paraId="002A6A54" w14:textId="77777777" w:rsidR="00C76601" w:rsidRPr="00C76601" w:rsidRDefault="00162F2E" w:rsidP="00C76601">
            <w:pPr>
              <w:autoSpaceDE/>
              <w:autoSpaceDN/>
              <w:adjustRightInd/>
              <w:spacing w:after="0"/>
              <w:jc w:val="center"/>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Net Outturn Variance</w:t>
            </w:r>
            <w:r w:rsidRPr="00C76601">
              <w:rPr>
                <w:rFonts w:eastAsia="Times New Roman" w:cs="Arial"/>
                <w:sz w:val="20"/>
                <w:szCs w:val="20"/>
                <w:lang w:eastAsia="en-GB"/>
              </w:rPr>
              <w:t> </w:t>
            </w:r>
          </w:p>
        </w:tc>
      </w:tr>
      <w:tr w:rsidR="006E5B54" w14:paraId="3E9ABF18" w14:textId="77777777" w:rsidTr="00C904A5">
        <w:trPr>
          <w:trHeight w:val="240"/>
        </w:trPr>
        <w:tc>
          <w:tcPr>
            <w:tcW w:w="3554" w:type="dxa"/>
            <w:tcBorders>
              <w:top w:val="nil"/>
              <w:left w:val="single" w:sz="6" w:space="0" w:color="auto"/>
              <w:bottom w:val="single" w:sz="6" w:space="0" w:color="auto"/>
              <w:right w:val="single" w:sz="6" w:space="0" w:color="auto"/>
            </w:tcBorders>
            <w:shd w:val="clear" w:color="auto" w:fill="D9D9D9"/>
            <w:vAlign w:val="center"/>
            <w:hideMark/>
          </w:tcPr>
          <w:p w14:paraId="39C2383A" w14:textId="77777777" w:rsidR="00C76601" w:rsidRPr="00C76601" w:rsidRDefault="00162F2E" w:rsidP="00C76601">
            <w:pPr>
              <w:autoSpaceDE/>
              <w:autoSpaceDN/>
              <w:adjustRightInd/>
              <w:spacing w:after="0"/>
              <w:jc w:val="lef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 </w:t>
            </w:r>
            <w:r w:rsidRPr="00C76601">
              <w:rPr>
                <w:rFonts w:eastAsia="Times New Roman" w:cs="Arial"/>
                <w:sz w:val="20"/>
                <w:szCs w:val="20"/>
                <w:lang w:eastAsia="en-GB"/>
              </w:rPr>
              <w:t> </w:t>
            </w:r>
          </w:p>
        </w:tc>
        <w:tc>
          <w:tcPr>
            <w:tcW w:w="1104" w:type="dxa"/>
            <w:tcBorders>
              <w:top w:val="nil"/>
              <w:left w:val="nil"/>
              <w:bottom w:val="single" w:sz="6" w:space="0" w:color="auto"/>
              <w:right w:val="single" w:sz="6" w:space="0" w:color="auto"/>
            </w:tcBorders>
            <w:shd w:val="clear" w:color="auto" w:fill="D9D9D9"/>
            <w:vAlign w:val="center"/>
            <w:hideMark/>
          </w:tcPr>
          <w:p w14:paraId="6AF3D75E" w14:textId="77777777" w:rsidR="00C76601" w:rsidRPr="00C76601" w:rsidRDefault="00162F2E" w:rsidP="00C76601">
            <w:pPr>
              <w:autoSpaceDE/>
              <w:autoSpaceDN/>
              <w:adjustRightInd/>
              <w:spacing w:after="0"/>
              <w:jc w:val="center"/>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£m</w:t>
            </w:r>
            <w:r w:rsidRPr="00C76601">
              <w:rPr>
                <w:rFonts w:eastAsia="Times New Roman" w:cs="Arial"/>
                <w:sz w:val="20"/>
                <w:szCs w:val="20"/>
                <w:lang w:eastAsia="en-GB"/>
              </w:rPr>
              <w:t> </w:t>
            </w:r>
          </w:p>
        </w:tc>
        <w:tc>
          <w:tcPr>
            <w:tcW w:w="1149" w:type="dxa"/>
            <w:tcBorders>
              <w:top w:val="nil"/>
              <w:left w:val="nil"/>
              <w:bottom w:val="single" w:sz="6" w:space="0" w:color="auto"/>
              <w:right w:val="single" w:sz="6" w:space="0" w:color="auto"/>
            </w:tcBorders>
            <w:shd w:val="clear" w:color="auto" w:fill="D9D9D9"/>
            <w:vAlign w:val="center"/>
            <w:hideMark/>
          </w:tcPr>
          <w:p w14:paraId="279A2A3C" w14:textId="77777777" w:rsidR="00C76601" w:rsidRPr="00C76601" w:rsidRDefault="00162F2E" w:rsidP="00C76601">
            <w:pPr>
              <w:autoSpaceDE/>
              <w:autoSpaceDN/>
              <w:adjustRightInd/>
              <w:spacing w:after="0"/>
              <w:jc w:val="center"/>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£m</w:t>
            </w:r>
            <w:r w:rsidRPr="00C76601">
              <w:rPr>
                <w:rFonts w:eastAsia="Times New Roman" w:cs="Arial"/>
                <w:sz w:val="20"/>
                <w:szCs w:val="20"/>
                <w:lang w:eastAsia="en-GB"/>
              </w:rPr>
              <w:t> </w:t>
            </w:r>
          </w:p>
        </w:tc>
        <w:tc>
          <w:tcPr>
            <w:tcW w:w="1160" w:type="dxa"/>
            <w:tcBorders>
              <w:top w:val="nil"/>
              <w:left w:val="nil"/>
              <w:bottom w:val="single" w:sz="6" w:space="0" w:color="auto"/>
              <w:right w:val="single" w:sz="6" w:space="0" w:color="auto"/>
            </w:tcBorders>
            <w:shd w:val="clear" w:color="auto" w:fill="D9D9D9"/>
            <w:vAlign w:val="center"/>
            <w:hideMark/>
          </w:tcPr>
          <w:p w14:paraId="605307A7" w14:textId="77777777" w:rsidR="00C76601" w:rsidRPr="00C76601" w:rsidRDefault="00162F2E" w:rsidP="00C76601">
            <w:pPr>
              <w:autoSpaceDE/>
              <w:autoSpaceDN/>
              <w:adjustRightInd/>
              <w:spacing w:after="0"/>
              <w:jc w:val="center"/>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£m</w:t>
            </w:r>
            <w:r w:rsidRPr="00C76601">
              <w:rPr>
                <w:rFonts w:eastAsia="Times New Roman" w:cs="Arial"/>
                <w:sz w:val="20"/>
                <w:szCs w:val="20"/>
                <w:lang w:eastAsia="en-GB"/>
              </w:rPr>
              <w:t> </w:t>
            </w:r>
          </w:p>
        </w:tc>
        <w:tc>
          <w:tcPr>
            <w:tcW w:w="1521" w:type="dxa"/>
            <w:tcBorders>
              <w:top w:val="nil"/>
              <w:left w:val="nil"/>
              <w:bottom w:val="single" w:sz="6" w:space="0" w:color="auto"/>
              <w:right w:val="single" w:sz="6" w:space="0" w:color="auto"/>
            </w:tcBorders>
            <w:shd w:val="clear" w:color="auto" w:fill="D9D9D9"/>
            <w:vAlign w:val="center"/>
            <w:hideMark/>
          </w:tcPr>
          <w:p w14:paraId="6C5972EC" w14:textId="77777777" w:rsidR="00C76601" w:rsidRPr="00C76601" w:rsidRDefault="00162F2E" w:rsidP="00C76601">
            <w:pPr>
              <w:autoSpaceDE/>
              <w:autoSpaceDN/>
              <w:adjustRightInd/>
              <w:spacing w:after="0"/>
              <w:jc w:val="center"/>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w:t>
            </w:r>
            <w:r w:rsidRPr="00C76601">
              <w:rPr>
                <w:rFonts w:eastAsia="Times New Roman" w:cs="Arial"/>
                <w:sz w:val="20"/>
                <w:szCs w:val="20"/>
                <w:lang w:eastAsia="en-GB"/>
              </w:rPr>
              <w:t> </w:t>
            </w:r>
          </w:p>
        </w:tc>
      </w:tr>
      <w:tr w:rsidR="006E5B54" w14:paraId="37EEFF2E" w14:textId="77777777" w:rsidTr="00C904A5">
        <w:trPr>
          <w:trHeight w:val="240"/>
        </w:trPr>
        <w:tc>
          <w:tcPr>
            <w:tcW w:w="3554" w:type="dxa"/>
            <w:tcBorders>
              <w:top w:val="nil"/>
              <w:left w:val="single" w:sz="6" w:space="0" w:color="auto"/>
              <w:bottom w:val="single" w:sz="6" w:space="0" w:color="auto"/>
              <w:right w:val="single" w:sz="6" w:space="0" w:color="auto"/>
            </w:tcBorders>
            <w:shd w:val="clear" w:color="auto" w:fill="D9D9D9"/>
            <w:vAlign w:val="center"/>
            <w:hideMark/>
          </w:tcPr>
          <w:p w14:paraId="51A1E332" w14:textId="77777777" w:rsidR="00C76601" w:rsidRPr="00C76601" w:rsidRDefault="00162F2E" w:rsidP="00C76601">
            <w:pPr>
              <w:autoSpaceDE/>
              <w:autoSpaceDN/>
              <w:adjustRightInd/>
              <w:spacing w:after="0"/>
              <w:jc w:val="lef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Chief Executive</w:t>
            </w:r>
            <w:r w:rsidRPr="00C76601">
              <w:rPr>
                <w:rFonts w:eastAsia="Times New Roman" w:cs="Arial"/>
                <w:sz w:val="20"/>
                <w:szCs w:val="20"/>
                <w:lang w:eastAsia="en-GB"/>
              </w:rPr>
              <w:t> </w:t>
            </w:r>
          </w:p>
        </w:tc>
        <w:tc>
          <w:tcPr>
            <w:tcW w:w="1104" w:type="dxa"/>
            <w:tcBorders>
              <w:top w:val="nil"/>
              <w:left w:val="nil"/>
              <w:bottom w:val="single" w:sz="6" w:space="0" w:color="auto"/>
              <w:right w:val="single" w:sz="6" w:space="0" w:color="auto"/>
            </w:tcBorders>
            <w:shd w:val="clear" w:color="auto" w:fill="auto"/>
            <w:vAlign w:val="center"/>
            <w:hideMark/>
          </w:tcPr>
          <w:p w14:paraId="4A95C915"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-24.638 </w:t>
            </w:r>
          </w:p>
        </w:tc>
        <w:tc>
          <w:tcPr>
            <w:tcW w:w="1149" w:type="dxa"/>
            <w:tcBorders>
              <w:top w:val="nil"/>
              <w:left w:val="nil"/>
              <w:bottom w:val="single" w:sz="6" w:space="0" w:color="auto"/>
              <w:right w:val="single" w:sz="6" w:space="0" w:color="auto"/>
            </w:tcBorders>
            <w:shd w:val="clear" w:color="auto" w:fill="auto"/>
            <w:vAlign w:val="center"/>
            <w:hideMark/>
          </w:tcPr>
          <w:p w14:paraId="6F501540"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-25.894 </w:t>
            </w:r>
          </w:p>
        </w:tc>
        <w:tc>
          <w:tcPr>
            <w:tcW w:w="1160" w:type="dxa"/>
            <w:tcBorders>
              <w:top w:val="nil"/>
              <w:left w:val="nil"/>
              <w:bottom w:val="single" w:sz="6" w:space="0" w:color="auto"/>
              <w:right w:val="single" w:sz="6" w:space="0" w:color="auto"/>
            </w:tcBorders>
            <w:shd w:val="clear" w:color="auto" w:fill="D9D9D9"/>
            <w:vAlign w:val="center"/>
            <w:hideMark/>
          </w:tcPr>
          <w:p w14:paraId="6E4C244B"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-1.256 </w:t>
            </w:r>
          </w:p>
        </w:tc>
        <w:tc>
          <w:tcPr>
            <w:tcW w:w="1521" w:type="dxa"/>
            <w:tcBorders>
              <w:top w:val="nil"/>
              <w:left w:val="nil"/>
              <w:bottom w:val="single" w:sz="6" w:space="0" w:color="auto"/>
              <w:right w:val="single" w:sz="6" w:space="0" w:color="auto"/>
            </w:tcBorders>
            <w:shd w:val="clear" w:color="auto" w:fill="auto"/>
            <w:vAlign w:val="center"/>
            <w:hideMark/>
          </w:tcPr>
          <w:p w14:paraId="7A194EBF"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-5.10% </w:t>
            </w:r>
          </w:p>
        </w:tc>
      </w:tr>
      <w:tr w:rsidR="006E5B54" w14:paraId="7633748E" w14:textId="77777777" w:rsidTr="00C904A5">
        <w:trPr>
          <w:trHeight w:val="240"/>
        </w:trPr>
        <w:tc>
          <w:tcPr>
            <w:tcW w:w="3554" w:type="dxa"/>
            <w:tcBorders>
              <w:top w:val="nil"/>
              <w:left w:val="single" w:sz="6" w:space="0" w:color="auto"/>
              <w:bottom w:val="single" w:sz="6" w:space="0" w:color="auto"/>
              <w:right w:val="single" w:sz="6" w:space="0" w:color="auto"/>
            </w:tcBorders>
            <w:shd w:val="clear" w:color="auto" w:fill="D9D9D9"/>
            <w:vAlign w:val="center"/>
            <w:hideMark/>
          </w:tcPr>
          <w:p w14:paraId="66C0630C" w14:textId="77777777" w:rsidR="00C76601" w:rsidRPr="00C76601" w:rsidRDefault="00162F2E" w:rsidP="00C76601">
            <w:pPr>
              <w:autoSpaceDE/>
              <w:autoSpaceDN/>
              <w:adjustRightInd/>
              <w:spacing w:after="0"/>
              <w:jc w:val="lef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Communications</w:t>
            </w:r>
            <w:r w:rsidRPr="00C76601">
              <w:rPr>
                <w:rFonts w:eastAsia="Times New Roman" w:cs="Arial"/>
                <w:sz w:val="20"/>
                <w:szCs w:val="20"/>
                <w:lang w:eastAsia="en-GB"/>
              </w:rPr>
              <w:t> </w:t>
            </w:r>
          </w:p>
        </w:tc>
        <w:tc>
          <w:tcPr>
            <w:tcW w:w="1104" w:type="dxa"/>
            <w:tcBorders>
              <w:top w:val="nil"/>
              <w:left w:val="nil"/>
              <w:bottom w:val="single" w:sz="6" w:space="0" w:color="auto"/>
              <w:right w:val="single" w:sz="6" w:space="0" w:color="auto"/>
            </w:tcBorders>
            <w:shd w:val="clear" w:color="auto" w:fill="auto"/>
            <w:vAlign w:val="center"/>
            <w:hideMark/>
          </w:tcPr>
          <w:p w14:paraId="7DA4AD4E"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1.116 </w:t>
            </w:r>
          </w:p>
        </w:tc>
        <w:tc>
          <w:tcPr>
            <w:tcW w:w="1149" w:type="dxa"/>
            <w:tcBorders>
              <w:top w:val="nil"/>
              <w:left w:val="nil"/>
              <w:bottom w:val="single" w:sz="6" w:space="0" w:color="auto"/>
              <w:right w:val="single" w:sz="6" w:space="0" w:color="auto"/>
            </w:tcBorders>
            <w:shd w:val="clear" w:color="auto" w:fill="auto"/>
            <w:vAlign w:val="center"/>
            <w:hideMark/>
          </w:tcPr>
          <w:p w14:paraId="31998365"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0.916 </w:t>
            </w:r>
          </w:p>
        </w:tc>
        <w:tc>
          <w:tcPr>
            <w:tcW w:w="1160" w:type="dxa"/>
            <w:tcBorders>
              <w:top w:val="nil"/>
              <w:left w:val="nil"/>
              <w:bottom w:val="single" w:sz="6" w:space="0" w:color="auto"/>
              <w:right w:val="single" w:sz="6" w:space="0" w:color="auto"/>
            </w:tcBorders>
            <w:shd w:val="clear" w:color="auto" w:fill="D9D9D9"/>
            <w:vAlign w:val="center"/>
            <w:hideMark/>
          </w:tcPr>
          <w:p w14:paraId="69528F7B"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-0.200 </w:t>
            </w:r>
          </w:p>
        </w:tc>
        <w:tc>
          <w:tcPr>
            <w:tcW w:w="1521" w:type="dxa"/>
            <w:tcBorders>
              <w:top w:val="nil"/>
              <w:left w:val="nil"/>
              <w:bottom w:val="single" w:sz="6" w:space="0" w:color="auto"/>
              <w:right w:val="single" w:sz="6" w:space="0" w:color="auto"/>
            </w:tcBorders>
            <w:shd w:val="clear" w:color="auto" w:fill="auto"/>
            <w:vAlign w:val="center"/>
            <w:hideMark/>
          </w:tcPr>
          <w:p w14:paraId="1F576110"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-17.92% </w:t>
            </w:r>
          </w:p>
        </w:tc>
      </w:tr>
      <w:tr w:rsidR="006E5B54" w14:paraId="0365829D" w14:textId="77777777" w:rsidTr="00C904A5">
        <w:trPr>
          <w:trHeight w:val="240"/>
        </w:trPr>
        <w:tc>
          <w:tcPr>
            <w:tcW w:w="3554" w:type="dxa"/>
            <w:tcBorders>
              <w:top w:val="nil"/>
              <w:left w:val="single" w:sz="6" w:space="0" w:color="auto"/>
              <w:bottom w:val="single" w:sz="6" w:space="0" w:color="auto"/>
              <w:right w:val="single" w:sz="6" w:space="0" w:color="auto"/>
            </w:tcBorders>
            <w:shd w:val="clear" w:color="auto" w:fill="D9D9D9"/>
            <w:vAlign w:val="center"/>
            <w:hideMark/>
          </w:tcPr>
          <w:p w14:paraId="2F0B724F" w14:textId="77777777" w:rsidR="00C76601" w:rsidRPr="00C76601" w:rsidRDefault="00162F2E" w:rsidP="00C76601">
            <w:pPr>
              <w:autoSpaceDE/>
              <w:autoSpaceDN/>
              <w:adjustRightInd/>
              <w:spacing w:after="0"/>
              <w:jc w:val="lef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Corporate Budgets (Funding and Grants)</w:t>
            </w:r>
            <w:r w:rsidRPr="00C76601">
              <w:rPr>
                <w:rFonts w:eastAsia="Times New Roman" w:cs="Arial"/>
                <w:sz w:val="20"/>
                <w:szCs w:val="20"/>
                <w:lang w:eastAsia="en-GB"/>
              </w:rPr>
              <w:t> </w:t>
            </w:r>
          </w:p>
        </w:tc>
        <w:tc>
          <w:tcPr>
            <w:tcW w:w="1104" w:type="dxa"/>
            <w:tcBorders>
              <w:top w:val="nil"/>
              <w:left w:val="nil"/>
              <w:bottom w:val="single" w:sz="6" w:space="0" w:color="auto"/>
              <w:right w:val="single" w:sz="6" w:space="0" w:color="auto"/>
            </w:tcBorders>
            <w:shd w:val="clear" w:color="auto" w:fill="auto"/>
            <w:vAlign w:val="center"/>
            <w:hideMark/>
          </w:tcPr>
          <w:p w14:paraId="652D0AF4"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-3.672 </w:t>
            </w:r>
          </w:p>
        </w:tc>
        <w:tc>
          <w:tcPr>
            <w:tcW w:w="1149" w:type="dxa"/>
            <w:tcBorders>
              <w:top w:val="nil"/>
              <w:left w:val="nil"/>
              <w:bottom w:val="single" w:sz="6" w:space="0" w:color="auto"/>
              <w:right w:val="single" w:sz="6" w:space="0" w:color="auto"/>
            </w:tcBorders>
            <w:shd w:val="clear" w:color="auto" w:fill="auto"/>
            <w:vAlign w:val="center"/>
            <w:hideMark/>
          </w:tcPr>
          <w:p w14:paraId="0C0A0CB5"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-1.799 </w:t>
            </w:r>
          </w:p>
        </w:tc>
        <w:tc>
          <w:tcPr>
            <w:tcW w:w="1160" w:type="dxa"/>
            <w:tcBorders>
              <w:top w:val="nil"/>
              <w:left w:val="nil"/>
              <w:bottom w:val="single" w:sz="6" w:space="0" w:color="auto"/>
              <w:right w:val="single" w:sz="6" w:space="0" w:color="auto"/>
            </w:tcBorders>
            <w:shd w:val="clear" w:color="auto" w:fill="D9D9D9"/>
            <w:vAlign w:val="center"/>
            <w:hideMark/>
          </w:tcPr>
          <w:p w14:paraId="78963BF7"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1.873 </w:t>
            </w:r>
          </w:p>
        </w:tc>
        <w:tc>
          <w:tcPr>
            <w:tcW w:w="1521" w:type="dxa"/>
            <w:tcBorders>
              <w:top w:val="nil"/>
              <w:left w:val="nil"/>
              <w:bottom w:val="single" w:sz="6" w:space="0" w:color="auto"/>
              <w:right w:val="single" w:sz="6" w:space="0" w:color="auto"/>
            </w:tcBorders>
            <w:shd w:val="clear" w:color="auto" w:fill="auto"/>
            <w:vAlign w:val="center"/>
            <w:hideMark/>
          </w:tcPr>
          <w:p w14:paraId="3687661F"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51.01% </w:t>
            </w:r>
          </w:p>
        </w:tc>
      </w:tr>
      <w:tr w:rsidR="006E5B54" w14:paraId="3A8EBA08" w14:textId="77777777" w:rsidTr="00C904A5">
        <w:trPr>
          <w:trHeight w:val="540"/>
        </w:trPr>
        <w:tc>
          <w:tcPr>
            <w:tcW w:w="3554" w:type="dxa"/>
            <w:tcBorders>
              <w:top w:val="nil"/>
              <w:left w:val="single" w:sz="6" w:space="0" w:color="auto"/>
              <w:bottom w:val="single" w:sz="6" w:space="0" w:color="auto"/>
              <w:right w:val="single" w:sz="6" w:space="0" w:color="auto"/>
            </w:tcBorders>
            <w:shd w:val="clear" w:color="auto" w:fill="D9D9D9"/>
            <w:vAlign w:val="center"/>
            <w:hideMark/>
          </w:tcPr>
          <w:p w14:paraId="68508238" w14:textId="77777777" w:rsidR="00C76601" w:rsidRPr="00C76601" w:rsidRDefault="00162F2E" w:rsidP="00C76601">
            <w:pPr>
              <w:autoSpaceDE/>
              <w:autoSpaceDN/>
              <w:adjustRightInd/>
              <w:spacing w:after="0"/>
              <w:jc w:val="lef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Corporate Budgets (Treasury Management)</w:t>
            </w:r>
            <w:r w:rsidRPr="00C76601">
              <w:rPr>
                <w:rFonts w:eastAsia="Times New Roman" w:cs="Arial"/>
                <w:sz w:val="20"/>
                <w:szCs w:val="20"/>
                <w:lang w:eastAsia="en-GB"/>
              </w:rPr>
              <w:t> </w:t>
            </w:r>
          </w:p>
        </w:tc>
        <w:tc>
          <w:tcPr>
            <w:tcW w:w="1104" w:type="dxa"/>
            <w:tcBorders>
              <w:top w:val="nil"/>
              <w:left w:val="nil"/>
              <w:bottom w:val="single" w:sz="6" w:space="0" w:color="auto"/>
              <w:right w:val="single" w:sz="6" w:space="0" w:color="auto"/>
            </w:tcBorders>
            <w:shd w:val="clear" w:color="auto" w:fill="auto"/>
            <w:vAlign w:val="center"/>
            <w:hideMark/>
          </w:tcPr>
          <w:p w14:paraId="73A09F98"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31.647 </w:t>
            </w:r>
          </w:p>
        </w:tc>
        <w:tc>
          <w:tcPr>
            <w:tcW w:w="1149" w:type="dxa"/>
            <w:tcBorders>
              <w:top w:val="nil"/>
              <w:left w:val="nil"/>
              <w:bottom w:val="single" w:sz="6" w:space="0" w:color="auto"/>
              <w:right w:val="single" w:sz="6" w:space="0" w:color="auto"/>
            </w:tcBorders>
            <w:shd w:val="clear" w:color="auto" w:fill="auto"/>
            <w:vAlign w:val="center"/>
            <w:hideMark/>
          </w:tcPr>
          <w:p w14:paraId="741770B8"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18.147 </w:t>
            </w:r>
          </w:p>
        </w:tc>
        <w:tc>
          <w:tcPr>
            <w:tcW w:w="1160" w:type="dxa"/>
            <w:tcBorders>
              <w:top w:val="nil"/>
              <w:left w:val="nil"/>
              <w:bottom w:val="single" w:sz="6" w:space="0" w:color="auto"/>
              <w:right w:val="single" w:sz="6" w:space="0" w:color="auto"/>
            </w:tcBorders>
            <w:shd w:val="clear" w:color="auto" w:fill="D9D9D9"/>
            <w:vAlign w:val="center"/>
            <w:hideMark/>
          </w:tcPr>
          <w:p w14:paraId="424C2F44"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-13.500 </w:t>
            </w:r>
          </w:p>
        </w:tc>
        <w:tc>
          <w:tcPr>
            <w:tcW w:w="1521" w:type="dxa"/>
            <w:tcBorders>
              <w:top w:val="nil"/>
              <w:left w:val="nil"/>
              <w:bottom w:val="single" w:sz="6" w:space="0" w:color="auto"/>
              <w:right w:val="single" w:sz="6" w:space="0" w:color="auto"/>
            </w:tcBorders>
            <w:shd w:val="clear" w:color="auto" w:fill="auto"/>
            <w:vAlign w:val="center"/>
            <w:hideMark/>
          </w:tcPr>
          <w:p w14:paraId="7FBE173F"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-42.66% </w:t>
            </w:r>
          </w:p>
        </w:tc>
      </w:tr>
      <w:tr w:rsidR="006E5B54" w14:paraId="77CE4714" w14:textId="77777777" w:rsidTr="00C904A5">
        <w:trPr>
          <w:trHeight w:val="450"/>
        </w:trPr>
        <w:tc>
          <w:tcPr>
            <w:tcW w:w="3554" w:type="dxa"/>
            <w:tcBorders>
              <w:top w:val="nil"/>
              <w:left w:val="single" w:sz="6" w:space="0" w:color="auto"/>
              <w:bottom w:val="single" w:sz="6" w:space="0" w:color="auto"/>
              <w:right w:val="single" w:sz="6" w:space="0" w:color="auto"/>
            </w:tcBorders>
            <w:shd w:val="clear" w:color="auto" w:fill="D9D9D9"/>
            <w:vAlign w:val="center"/>
            <w:hideMark/>
          </w:tcPr>
          <w:p w14:paraId="10839F59" w14:textId="77777777" w:rsidR="00C76601" w:rsidRPr="00C76601" w:rsidRDefault="00162F2E" w:rsidP="00C76601">
            <w:pPr>
              <w:autoSpaceDE/>
              <w:autoSpaceDN/>
              <w:adjustRightInd/>
              <w:spacing w:after="0"/>
              <w:jc w:val="lef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Corporate Budgets (Pensions &amp; Apprenticeship Levy)</w:t>
            </w:r>
            <w:r w:rsidRPr="00C76601">
              <w:rPr>
                <w:rFonts w:eastAsia="Times New Roman" w:cs="Arial"/>
                <w:sz w:val="20"/>
                <w:szCs w:val="20"/>
                <w:lang w:eastAsia="en-GB"/>
              </w:rPr>
              <w:t> </w:t>
            </w:r>
          </w:p>
        </w:tc>
        <w:tc>
          <w:tcPr>
            <w:tcW w:w="1104" w:type="dxa"/>
            <w:tcBorders>
              <w:top w:val="nil"/>
              <w:left w:val="nil"/>
              <w:bottom w:val="single" w:sz="6" w:space="0" w:color="auto"/>
              <w:right w:val="single" w:sz="6" w:space="0" w:color="auto"/>
            </w:tcBorders>
            <w:shd w:val="clear" w:color="auto" w:fill="auto"/>
            <w:vAlign w:val="center"/>
            <w:hideMark/>
          </w:tcPr>
          <w:p w14:paraId="2484D607"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11.111 </w:t>
            </w:r>
          </w:p>
        </w:tc>
        <w:tc>
          <w:tcPr>
            <w:tcW w:w="1149" w:type="dxa"/>
            <w:tcBorders>
              <w:top w:val="nil"/>
              <w:left w:val="nil"/>
              <w:bottom w:val="single" w:sz="6" w:space="0" w:color="auto"/>
              <w:right w:val="single" w:sz="6" w:space="0" w:color="auto"/>
            </w:tcBorders>
            <w:shd w:val="clear" w:color="auto" w:fill="auto"/>
            <w:vAlign w:val="center"/>
            <w:hideMark/>
          </w:tcPr>
          <w:p w14:paraId="171382F8"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10.173 </w:t>
            </w:r>
          </w:p>
        </w:tc>
        <w:tc>
          <w:tcPr>
            <w:tcW w:w="1160" w:type="dxa"/>
            <w:tcBorders>
              <w:top w:val="nil"/>
              <w:left w:val="nil"/>
              <w:bottom w:val="single" w:sz="6" w:space="0" w:color="auto"/>
              <w:right w:val="single" w:sz="6" w:space="0" w:color="auto"/>
            </w:tcBorders>
            <w:shd w:val="clear" w:color="auto" w:fill="D9D9D9"/>
            <w:vAlign w:val="center"/>
            <w:hideMark/>
          </w:tcPr>
          <w:p w14:paraId="62940EF3"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-0.938 </w:t>
            </w:r>
          </w:p>
        </w:tc>
        <w:tc>
          <w:tcPr>
            <w:tcW w:w="1521" w:type="dxa"/>
            <w:tcBorders>
              <w:top w:val="nil"/>
              <w:left w:val="nil"/>
              <w:bottom w:val="single" w:sz="6" w:space="0" w:color="auto"/>
              <w:right w:val="single" w:sz="6" w:space="0" w:color="auto"/>
            </w:tcBorders>
            <w:shd w:val="clear" w:color="auto" w:fill="auto"/>
            <w:vAlign w:val="center"/>
            <w:hideMark/>
          </w:tcPr>
          <w:p w14:paraId="650E7C95"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-8.44% </w:t>
            </w:r>
          </w:p>
        </w:tc>
      </w:tr>
      <w:tr w:rsidR="006E5B54" w14:paraId="55BB43BC" w14:textId="77777777" w:rsidTr="00C904A5">
        <w:trPr>
          <w:trHeight w:val="240"/>
        </w:trPr>
        <w:tc>
          <w:tcPr>
            <w:tcW w:w="3554" w:type="dxa"/>
            <w:tcBorders>
              <w:top w:val="nil"/>
              <w:left w:val="single" w:sz="6" w:space="0" w:color="auto"/>
              <w:bottom w:val="single" w:sz="6" w:space="0" w:color="auto"/>
              <w:right w:val="single" w:sz="6" w:space="0" w:color="auto"/>
            </w:tcBorders>
            <w:shd w:val="clear" w:color="auto" w:fill="D9D9D9"/>
            <w:vAlign w:val="center"/>
            <w:hideMark/>
          </w:tcPr>
          <w:p w14:paraId="3F89BA22" w14:textId="77777777" w:rsidR="00C76601" w:rsidRPr="00C76601" w:rsidRDefault="00162F2E" w:rsidP="00C76601">
            <w:pPr>
              <w:autoSpaceDE/>
              <w:autoSpaceDN/>
              <w:adjustRightInd/>
              <w:spacing w:after="0"/>
              <w:jc w:val="lef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Total</w:t>
            </w:r>
            <w:r w:rsidRPr="00C76601">
              <w:rPr>
                <w:rFonts w:eastAsia="Times New Roman" w:cs="Arial"/>
                <w:sz w:val="20"/>
                <w:szCs w:val="20"/>
                <w:lang w:eastAsia="en-GB"/>
              </w:rPr>
              <w:t> </w:t>
            </w:r>
          </w:p>
        </w:tc>
        <w:tc>
          <w:tcPr>
            <w:tcW w:w="1104" w:type="dxa"/>
            <w:tcBorders>
              <w:top w:val="nil"/>
              <w:left w:val="nil"/>
              <w:bottom w:val="single" w:sz="6" w:space="0" w:color="auto"/>
              <w:right w:val="single" w:sz="6" w:space="0" w:color="auto"/>
            </w:tcBorders>
            <w:shd w:val="clear" w:color="auto" w:fill="D9D9D9"/>
            <w:vAlign w:val="center"/>
            <w:hideMark/>
          </w:tcPr>
          <w:p w14:paraId="21B68B89"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15.564</w:t>
            </w:r>
            <w:r w:rsidRPr="00C76601">
              <w:rPr>
                <w:rFonts w:eastAsia="Times New Roman" w:cs="Arial"/>
                <w:sz w:val="20"/>
                <w:szCs w:val="20"/>
                <w:lang w:eastAsia="en-GB"/>
              </w:rPr>
              <w:t> </w:t>
            </w:r>
          </w:p>
        </w:tc>
        <w:tc>
          <w:tcPr>
            <w:tcW w:w="1149" w:type="dxa"/>
            <w:tcBorders>
              <w:top w:val="nil"/>
              <w:left w:val="nil"/>
              <w:bottom w:val="single" w:sz="6" w:space="0" w:color="auto"/>
              <w:right w:val="single" w:sz="6" w:space="0" w:color="auto"/>
            </w:tcBorders>
            <w:shd w:val="clear" w:color="auto" w:fill="D9D9D9"/>
            <w:vAlign w:val="center"/>
            <w:hideMark/>
          </w:tcPr>
          <w:p w14:paraId="7313D0CC"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1.543</w:t>
            </w:r>
            <w:r w:rsidRPr="00C76601">
              <w:rPr>
                <w:rFonts w:eastAsia="Times New Roman" w:cs="Arial"/>
                <w:sz w:val="20"/>
                <w:szCs w:val="20"/>
                <w:lang w:eastAsia="en-GB"/>
              </w:rPr>
              <w:t> </w:t>
            </w:r>
          </w:p>
        </w:tc>
        <w:tc>
          <w:tcPr>
            <w:tcW w:w="1160" w:type="dxa"/>
            <w:tcBorders>
              <w:top w:val="nil"/>
              <w:left w:val="nil"/>
              <w:bottom w:val="single" w:sz="6" w:space="0" w:color="auto"/>
              <w:right w:val="single" w:sz="6" w:space="0" w:color="auto"/>
            </w:tcBorders>
            <w:shd w:val="clear" w:color="auto" w:fill="D9D9D9"/>
            <w:vAlign w:val="center"/>
            <w:hideMark/>
          </w:tcPr>
          <w:p w14:paraId="5A3E0DA1"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-14.021</w:t>
            </w:r>
            <w:r w:rsidRPr="00C76601">
              <w:rPr>
                <w:rFonts w:eastAsia="Times New Roman" w:cs="Arial"/>
                <w:sz w:val="20"/>
                <w:szCs w:val="20"/>
                <w:lang w:eastAsia="en-GB"/>
              </w:rPr>
              <w:t> </w:t>
            </w:r>
          </w:p>
        </w:tc>
        <w:tc>
          <w:tcPr>
            <w:tcW w:w="1521" w:type="dxa"/>
            <w:tcBorders>
              <w:top w:val="nil"/>
              <w:left w:val="nil"/>
              <w:bottom w:val="single" w:sz="6" w:space="0" w:color="auto"/>
              <w:right w:val="single" w:sz="6" w:space="0" w:color="auto"/>
            </w:tcBorders>
            <w:shd w:val="clear" w:color="auto" w:fill="D9D9D9"/>
            <w:vAlign w:val="center"/>
            <w:hideMark/>
          </w:tcPr>
          <w:p w14:paraId="199DCC82"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-90.09%</w:t>
            </w:r>
            <w:r w:rsidRPr="00C76601">
              <w:rPr>
                <w:rFonts w:eastAsia="Times New Roman" w:cs="Arial"/>
                <w:sz w:val="20"/>
                <w:szCs w:val="20"/>
                <w:lang w:eastAsia="en-GB"/>
              </w:rPr>
              <w:t> </w:t>
            </w:r>
          </w:p>
        </w:tc>
      </w:tr>
      <w:tr w:rsidR="006E5B54" w14:paraId="40C9C576" w14:textId="77777777" w:rsidTr="00C904A5">
        <w:trPr>
          <w:trHeight w:val="450"/>
        </w:trPr>
        <w:tc>
          <w:tcPr>
            <w:tcW w:w="3554"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0C225918" w14:textId="77777777" w:rsidR="00C76601" w:rsidRPr="00C76601" w:rsidRDefault="00162F2E" w:rsidP="00C76601">
            <w:pPr>
              <w:autoSpaceDE/>
              <w:autoSpaceDN/>
              <w:adjustRightInd/>
              <w:spacing w:after="0"/>
              <w:jc w:val="lef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 xml:space="preserve">Share of unallocated </w:t>
            </w:r>
            <w:r w:rsidR="0026517A">
              <w:rPr>
                <w:rFonts w:eastAsia="Times New Roman" w:cs="Arial"/>
                <w:b/>
                <w:bCs/>
                <w:sz w:val="20"/>
                <w:szCs w:val="20"/>
                <w:lang w:eastAsia="en-GB"/>
              </w:rPr>
              <w:t>COVID</w:t>
            </w:r>
            <w:r w:rsidRPr="00C76601">
              <w:rPr>
                <w:rFonts w:eastAsia="Times New Roman" w:cs="Arial"/>
                <w:b/>
                <w:bCs/>
                <w:sz w:val="20"/>
                <w:szCs w:val="20"/>
                <w:lang w:eastAsia="en-GB"/>
              </w:rPr>
              <w:t>-19 emergency monies</w:t>
            </w:r>
            <w:r w:rsidRPr="00C76601">
              <w:rPr>
                <w:rFonts w:eastAsia="Times New Roman" w:cs="Arial"/>
                <w:sz w:val="20"/>
                <w:szCs w:val="20"/>
                <w:lang w:eastAsia="en-GB"/>
              </w:rPr>
              <w:t> </w:t>
            </w:r>
          </w:p>
        </w:tc>
        <w:tc>
          <w:tcPr>
            <w:tcW w:w="1104" w:type="dxa"/>
            <w:tcBorders>
              <w:top w:val="nil"/>
              <w:left w:val="nil"/>
              <w:bottom w:val="single" w:sz="6" w:space="0" w:color="auto"/>
              <w:right w:val="single" w:sz="6" w:space="0" w:color="auto"/>
            </w:tcBorders>
            <w:shd w:val="clear" w:color="auto" w:fill="auto"/>
            <w:vAlign w:val="center"/>
            <w:hideMark/>
          </w:tcPr>
          <w:p w14:paraId="1CC0A05F"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1.803 </w:t>
            </w:r>
          </w:p>
        </w:tc>
        <w:tc>
          <w:tcPr>
            <w:tcW w:w="1149" w:type="dxa"/>
            <w:tcBorders>
              <w:top w:val="nil"/>
              <w:left w:val="nil"/>
              <w:bottom w:val="single" w:sz="6" w:space="0" w:color="auto"/>
              <w:right w:val="single" w:sz="6" w:space="0" w:color="auto"/>
            </w:tcBorders>
            <w:shd w:val="clear" w:color="auto" w:fill="auto"/>
            <w:vAlign w:val="center"/>
            <w:hideMark/>
          </w:tcPr>
          <w:p w14:paraId="24D52E43"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0.000 </w:t>
            </w:r>
          </w:p>
        </w:tc>
        <w:tc>
          <w:tcPr>
            <w:tcW w:w="1160" w:type="dxa"/>
            <w:tcBorders>
              <w:top w:val="nil"/>
              <w:left w:val="nil"/>
              <w:bottom w:val="single" w:sz="6" w:space="0" w:color="auto"/>
              <w:right w:val="single" w:sz="6" w:space="0" w:color="auto"/>
            </w:tcBorders>
            <w:shd w:val="clear" w:color="auto" w:fill="D9D9D9"/>
            <w:vAlign w:val="center"/>
            <w:hideMark/>
          </w:tcPr>
          <w:p w14:paraId="215C7A56"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-1.803 </w:t>
            </w:r>
          </w:p>
        </w:tc>
        <w:tc>
          <w:tcPr>
            <w:tcW w:w="1521" w:type="dxa"/>
            <w:tcBorders>
              <w:top w:val="nil"/>
              <w:left w:val="nil"/>
              <w:bottom w:val="single" w:sz="6" w:space="0" w:color="auto"/>
              <w:right w:val="single" w:sz="6" w:space="0" w:color="auto"/>
            </w:tcBorders>
            <w:shd w:val="clear" w:color="auto" w:fill="auto"/>
            <w:vAlign w:val="center"/>
            <w:hideMark/>
          </w:tcPr>
          <w:p w14:paraId="73CDFF58"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sz w:val="20"/>
                <w:szCs w:val="20"/>
                <w:lang w:eastAsia="en-GB"/>
              </w:rPr>
              <w:t>  </w:t>
            </w:r>
          </w:p>
        </w:tc>
      </w:tr>
      <w:tr w:rsidR="006E5B54" w14:paraId="45230B47" w14:textId="77777777" w:rsidTr="00C904A5">
        <w:trPr>
          <w:trHeight w:val="240"/>
        </w:trPr>
        <w:tc>
          <w:tcPr>
            <w:tcW w:w="3554" w:type="dxa"/>
            <w:tcBorders>
              <w:top w:val="nil"/>
              <w:left w:val="single" w:sz="6" w:space="0" w:color="auto"/>
              <w:bottom w:val="single" w:sz="6" w:space="0" w:color="auto"/>
              <w:right w:val="single" w:sz="6" w:space="0" w:color="auto"/>
            </w:tcBorders>
            <w:shd w:val="clear" w:color="auto" w:fill="D9D9D9"/>
            <w:vAlign w:val="center"/>
            <w:hideMark/>
          </w:tcPr>
          <w:p w14:paraId="17A90853" w14:textId="77777777" w:rsidR="00C76601" w:rsidRPr="00C76601" w:rsidRDefault="00162F2E" w:rsidP="00C76601">
            <w:pPr>
              <w:autoSpaceDE/>
              <w:autoSpaceDN/>
              <w:adjustRightInd/>
              <w:spacing w:after="0"/>
              <w:jc w:val="lef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Total Chief Executive Services</w:t>
            </w:r>
            <w:r w:rsidRPr="00C76601">
              <w:rPr>
                <w:rFonts w:eastAsia="Times New Roman" w:cs="Arial"/>
                <w:sz w:val="20"/>
                <w:szCs w:val="20"/>
                <w:lang w:eastAsia="en-GB"/>
              </w:rPr>
              <w:t> </w:t>
            </w:r>
          </w:p>
        </w:tc>
        <w:tc>
          <w:tcPr>
            <w:tcW w:w="1104" w:type="dxa"/>
            <w:tcBorders>
              <w:top w:val="nil"/>
              <w:left w:val="nil"/>
              <w:bottom w:val="single" w:sz="6" w:space="0" w:color="auto"/>
              <w:right w:val="single" w:sz="6" w:space="0" w:color="auto"/>
            </w:tcBorders>
            <w:shd w:val="clear" w:color="auto" w:fill="D9D9D9"/>
            <w:vAlign w:val="center"/>
            <w:hideMark/>
          </w:tcPr>
          <w:p w14:paraId="4AB1246E"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17.367</w:t>
            </w:r>
            <w:r w:rsidRPr="00C76601">
              <w:rPr>
                <w:rFonts w:eastAsia="Times New Roman" w:cs="Arial"/>
                <w:sz w:val="20"/>
                <w:szCs w:val="20"/>
                <w:lang w:eastAsia="en-GB"/>
              </w:rPr>
              <w:t> </w:t>
            </w:r>
          </w:p>
        </w:tc>
        <w:tc>
          <w:tcPr>
            <w:tcW w:w="1149" w:type="dxa"/>
            <w:tcBorders>
              <w:top w:val="nil"/>
              <w:left w:val="nil"/>
              <w:bottom w:val="single" w:sz="6" w:space="0" w:color="auto"/>
              <w:right w:val="single" w:sz="6" w:space="0" w:color="auto"/>
            </w:tcBorders>
            <w:shd w:val="clear" w:color="auto" w:fill="D9D9D9"/>
            <w:vAlign w:val="center"/>
            <w:hideMark/>
          </w:tcPr>
          <w:p w14:paraId="08CF665B"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1.543</w:t>
            </w:r>
            <w:r w:rsidRPr="00C76601">
              <w:rPr>
                <w:rFonts w:eastAsia="Times New Roman" w:cs="Arial"/>
                <w:sz w:val="20"/>
                <w:szCs w:val="20"/>
                <w:lang w:eastAsia="en-GB"/>
              </w:rPr>
              <w:t> </w:t>
            </w:r>
          </w:p>
        </w:tc>
        <w:tc>
          <w:tcPr>
            <w:tcW w:w="1160" w:type="dxa"/>
            <w:tcBorders>
              <w:top w:val="nil"/>
              <w:left w:val="nil"/>
              <w:bottom w:val="single" w:sz="6" w:space="0" w:color="auto"/>
              <w:right w:val="single" w:sz="6" w:space="0" w:color="auto"/>
            </w:tcBorders>
            <w:shd w:val="clear" w:color="auto" w:fill="D9D9D9"/>
            <w:vAlign w:val="center"/>
            <w:hideMark/>
          </w:tcPr>
          <w:p w14:paraId="17967519"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-15.824</w:t>
            </w:r>
            <w:r w:rsidRPr="00C76601">
              <w:rPr>
                <w:rFonts w:eastAsia="Times New Roman" w:cs="Arial"/>
                <w:sz w:val="20"/>
                <w:szCs w:val="20"/>
                <w:lang w:eastAsia="en-GB"/>
              </w:rPr>
              <w:t> </w:t>
            </w:r>
          </w:p>
        </w:tc>
        <w:tc>
          <w:tcPr>
            <w:tcW w:w="1521" w:type="dxa"/>
            <w:tcBorders>
              <w:top w:val="nil"/>
              <w:left w:val="nil"/>
              <w:bottom w:val="single" w:sz="6" w:space="0" w:color="auto"/>
              <w:right w:val="single" w:sz="6" w:space="0" w:color="auto"/>
            </w:tcBorders>
            <w:shd w:val="clear" w:color="auto" w:fill="D9D9D9"/>
            <w:vAlign w:val="center"/>
            <w:hideMark/>
          </w:tcPr>
          <w:p w14:paraId="0216F0DD" w14:textId="77777777" w:rsidR="00C76601" w:rsidRPr="00C76601" w:rsidRDefault="00162F2E" w:rsidP="00C76601">
            <w:pPr>
              <w:autoSpaceDE/>
              <w:autoSpaceDN/>
              <w:adjustRightInd/>
              <w:spacing w:after="0"/>
              <w:jc w:val="right"/>
              <w:textAlignment w:val="baseline"/>
              <w:rPr>
                <w:rFonts w:ascii="Times New Roman" w:eastAsia="Times New Roman" w:hAnsi="Times New Roman" w:cs="Times New Roman"/>
                <w:color w:val="auto"/>
                <w:lang w:eastAsia="en-GB"/>
              </w:rPr>
            </w:pPr>
            <w:r w:rsidRPr="00C76601">
              <w:rPr>
                <w:rFonts w:eastAsia="Times New Roman" w:cs="Arial"/>
                <w:b/>
                <w:bCs/>
                <w:sz w:val="20"/>
                <w:szCs w:val="20"/>
                <w:lang w:eastAsia="en-GB"/>
              </w:rPr>
              <w:t>-91.12%</w:t>
            </w:r>
            <w:r w:rsidRPr="00C76601">
              <w:rPr>
                <w:rFonts w:eastAsia="Times New Roman" w:cs="Arial"/>
                <w:sz w:val="20"/>
                <w:szCs w:val="20"/>
                <w:lang w:eastAsia="en-GB"/>
              </w:rPr>
              <w:t> </w:t>
            </w:r>
          </w:p>
        </w:tc>
      </w:tr>
    </w:tbl>
    <w:p w14:paraId="6C747716" w14:textId="77777777" w:rsidR="00C76601" w:rsidRPr="00C76601" w:rsidRDefault="00162F2E" w:rsidP="00C76601">
      <w:pPr>
        <w:autoSpaceDE/>
        <w:autoSpaceDN/>
        <w:adjustRightInd/>
        <w:spacing w:after="0"/>
        <w:jc w:val="left"/>
        <w:textAlignment w:val="baseline"/>
        <w:rPr>
          <w:rFonts w:ascii="Segoe UI" w:eastAsia="Times New Roman" w:hAnsi="Segoe UI" w:cs="Segoe UI"/>
          <w:color w:val="auto"/>
          <w:sz w:val="18"/>
          <w:szCs w:val="18"/>
          <w:lang w:eastAsia="en-GB"/>
        </w:rPr>
      </w:pPr>
      <w:r w:rsidRPr="00C76601">
        <w:rPr>
          <w:rFonts w:eastAsia="Times New Roman" w:cs="Arial"/>
          <w:color w:val="FF0000"/>
          <w:sz w:val="22"/>
          <w:szCs w:val="22"/>
          <w:lang w:eastAsia="en-GB"/>
        </w:rPr>
        <w:t> </w:t>
      </w:r>
    </w:p>
    <w:p w14:paraId="4B098519"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Pr>
          <w:rFonts w:eastAsia="Times New Roman" w:cs="Arial"/>
          <w:color w:val="auto"/>
          <w:lang w:eastAsia="en-GB"/>
        </w:rPr>
        <w:t>T</w:t>
      </w:r>
      <w:r w:rsidRPr="00C76601">
        <w:rPr>
          <w:rFonts w:eastAsia="Times New Roman" w:cs="Arial"/>
          <w:color w:val="auto"/>
          <w:lang w:eastAsia="en-GB"/>
        </w:rPr>
        <w:t xml:space="preserve">he total approved net budget for Chief Executive Services in 2021/22 is £17.367m including an allocation of £1.803m for </w:t>
      </w:r>
      <w:r w:rsidR="0026517A">
        <w:rPr>
          <w:rFonts w:eastAsia="Times New Roman" w:cs="Arial"/>
          <w:color w:val="auto"/>
          <w:lang w:eastAsia="en-GB"/>
        </w:rPr>
        <w:t>C</w:t>
      </w:r>
      <w:r w:rsidR="00C83D2E">
        <w:rPr>
          <w:rFonts w:eastAsia="Times New Roman" w:cs="Arial"/>
          <w:color w:val="auto"/>
          <w:lang w:eastAsia="en-GB"/>
        </w:rPr>
        <w:t>ovid</w:t>
      </w:r>
      <w:r w:rsidRPr="00C76601">
        <w:rPr>
          <w:rFonts w:eastAsia="Times New Roman" w:cs="Arial"/>
          <w:color w:val="auto"/>
          <w:lang w:eastAsia="en-GB"/>
        </w:rPr>
        <w:t>-19 for the first 3 months of 2021/22.   The outturn position is an underspend of £15.824m. </w:t>
      </w:r>
    </w:p>
    <w:p w14:paraId="4743DE88" w14:textId="77777777" w:rsidR="00C76601" w:rsidRPr="00C76601" w:rsidRDefault="00C76601" w:rsidP="00C76601">
      <w:pPr>
        <w:autoSpaceDE/>
        <w:autoSpaceDN/>
        <w:adjustRightInd/>
        <w:spacing w:after="0"/>
        <w:textAlignment w:val="baseline"/>
        <w:rPr>
          <w:rFonts w:ascii="Segoe UI" w:eastAsia="Times New Roman" w:hAnsi="Segoe UI" w:cs="Segoe UI"/>
          <w:color w:val="auto"/>
          <w:sz w:val="18"/>
          <w:szCs w:val="18"/>
          <w:lang w:eastAsia="en-GB"/>
        </w:rPr>
      </w:pPr>
    </w:p>
    <w:p w14:paraId="11BCE811"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CFBF26B">
        <w:rPr>
          <w:rFonts w:eastAsia="Times New Roman" w:cs="Arial"/>
          <w:b/>
          <w:bCs/>
          <w:color w:val="auto"/>
          <w:lang w:eastAsia="en-GB"/>
        </w:rPr>
        <w:t>Chief</w:t>
      </w:r>
      <w:r>
        <w:rPr>
          <w:rFonts w:eastAsia="Times New Roman" w:cs="Arial"/>
          <w:b/>
          <w:bCs/>
          <w:color w:val="auto"/>
          <w:lang w:eastAsia="en-GB"/>
        </w:rPr>
        <w:t xml:space="preserve"> Executive</w:t>
      </w:r>
      <w:r w:rsidRPr="00C76601">
        <w:rPr>
          <w:rFonts w:eastAsia="Times New Roman" w:cs="Arial"/>
          <w:b/>
          <w:bCs/>
          <w:color w:val="auto"/>
          <w:lang w:eastAsia="en-GB"/>
        </w:rPr>
        <w:t xml:space="preserve"> - underspend of £1.256m.</w:t>
      </w:r>
      <w:r w:rsidRPr="00C76601">
        <w:rPr>
          <w:rFonts w:eastAsia="Times New Roman" w:cs="Arial"/>
          <w:color w:val="auto"/>
          <w:lang w:eastAsia="en-GB"/>
        </w:rPr>
        <w:t> </w:t>
      </w:r>
    </w:p>
    <w:p w14:paraId="171F93CB"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 </w:t>
      </w:r>
    </w:p>
    <w:p w14:paraId="31758E64"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The outturn position includes a £575,000 underspend on Supplies and Service</w:t>
      </w:r>
      <w:r w:rsidR="009E2653">
        <w:rPr>
          <w:rFonts w:eastAsia="Times New Roman" w:cs="Arial"/>
          <w:color w:val="auto"/>
          <w:lang w:eastAsia="en-GB"/>
        </w:rPr>
        <w:t>s</w:t>
      </w:r>
      <w:r w:rsidR="005444CD">
        <w:rPr>
          <w:rFonts w:eastAsia="Times New Roman" w:cs="Arial"/>
          <w:color w:val="auto"/>
          <w:lang w:eastAsia="en-GB"/>
        </w:rPr>
        <w:t>.</w:t>
      </w:r>
      <w:r w:rsidRPr="00C76601">
        <w:rPr>
          <w:rFonts w:eastAsia="Times New Roman" w:cs="Arial"/>
          <w:color w:val="auto"/>
          <w:lang w:eastAsia="en-GB"/>
        </w:rPr>
        <w:t xml:space="preserve">  There are underspends of £396,000 on </w:t>
      </w:r>
      <w:r w:rsidR="0026517A">
        <w:rPr>
          <w:rFonts w:eastAsia="Times New Roman" w:cs="Arial"/>
          <w:color w:val="auto"/>
          <w:lang w:eastAsia="en-GB"/>
        </w:rPr>
        <w:t>C</w:t>
      </w:r>
      <w:r w:rsidR="00C83D2E">
        <w:rPr>
          <w:rFonts w:eastAsia="Times New Roman" w:cs="Arial"/>
          <w:color w:val="auto"/>
          <w:lang w:eastAsia="en-GB"/>
        </w:rPr>
        <w:t>ovid-19</w:t>
      </w:r>
      <w:r w:rsidRPr="00C76601">
        <w:rPr>
          <w:rFonts w:eastAsia="Times New Roman" w:cs="Arial"/>
          <w:color w:val="auto"/>
          <w:lang w:eastAsia="en-GB"/>
        </w:rPr>
        <w:t xml:space="preserve"> Winter Grants and £280,000 on other </w:t>
      </w:r>
      <w:r w:rsidR="0026517A">
        <w:rPr>
          <w:rFonts w:eastAsia="Times New Roman" w:cs="Arial"/>
          <w:color w:val="auto"/>
          <w:lang w:eastAsia="en-GB"/>
        </w:rPr>
        <w:t>C</w:t>
      </w:r>
      <w:r w:rsidR="00C83D2E">
        <w:rPr>
          <w:rFonts w:eastAsia="Times New Roman" w:cs="Arial"/>
          <w:color w:val="auto"/>
          <w:lang w:eastAsia="en-GB"/>
        </w:rPr>
        <w:t>ovid-19</w:t>
      </w:r>
      <w:r w:rsidRPr="00C76601">
        <w:rPr>
          <w:rFonts w:eastAsia="Times New Roman" w:cs="Arial"/>
          <w:color w:val="auto"/>
          <w:lang w:eastAsia="en-GB"/>
        </w:rPr>
        <w:t xml:space="preserve"> related spend, which net off against </w:t>
      </w:r>
      <w:r w:rsidR="0026517A">
        <w:rPr>
          <w:rFonts w:eastAsia="Times New Roman" w:cs="Arial"/>
          <w:color w:val="auto"/>
          <w:lang w:eastAsia="en-GB"/>
        </w:rPr>
        <w:t>C</w:t>
      </w:r>
      <w:r w:rsidR="00C83D2E">
        <w:rPr>
          <w:rFonts w:eastAsia="Times New Roman" w:cs="Arial"/>
          <w:color w:val="auto"/>
          <w:lang w:eastAsia="en-GB"/>
        </w:rPr>
        <w:t>ovid-19</w:t>
      </w:r>
      <w:r w:rsidRPr="00C76601">
        <w:rPr>
          <w:rFonts w:eastAsia="Times New Roman" w:cs="Arial"/>
          <w:color w:val="auto"/>
          <w:lang w:eastAsia="en-GB"/>
        </w:rPr>
        <w:t xml:space="preserve"> overspends within services. </w:t>
      </w:r>
    </w:p>
    <w:p w14:paraId="05E45C49"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 </w:t>
      </w:r>
    </w:p>
    <w:p w14:paraId="24B51AB6"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Pr>
          <w:rFonts w:eastAsia="Times New Roman" w:cs="Arial"/>
          <w:b/>
          <w:bCs/>
          <w:color w:val="auto"/>
          <w:lang w:eastAsia="en-GB"/>
        </w:rPr>
        <w:t>Communications</w:t>
      </w:r>
      <w:r w:rsidRPr="00C76601">
        <w:rPr>
          <w:rFonts w:eastAsia="Times New Roman" w:cs="Arial"/>
          <w:b/>
          <w:bCs/>
          <w:color w:val="auto"/>
          <w:lang w:eastAsia="en-GB"/>
        </w:rPr>
        <w:t xml:space="preserve"> – underspend £200,000.</w:t>
      </w:r>
      <w:r w:rsidRPr="00C76601">
        <w:rPr>
          <w:rFonts w:eastAsia="Times New Roman" w:cs="Arial"/>
          <w:color w:val="auto"/>
          <w:lang w:eastAsia="en-GB"/>
        </w:rPr>
        <w:t> </w:t>
      </w:r>
    </w:p>
    <w:p w14:paraId="52CE88D0"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 </w:t>
      </w:r>
    </w:p>
    <w:p w14:paraId="58638574" w14:textId="77777777" w:rsidR="00C76601" w:rsidRPr="00C76601" w:rsidRDefault="00162F2E" w:rsidP="0069446A">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 xml:space="preserve">This underspend reflects the significant amount of staff time spent on </w:t>
      </w:r>
      <w:r w:rsidR="0026517A">
        <w:rPr>
          <w:rFonts w:eastAsia="Times New Roman" w:cs="Arial"/>
          <w:color w:val="auto"/>
          <w:lang w:eastAsia="en-GB"/>
        </w:rPr>
        <w:t>Covid</w:t>
      </w:r>
      <w:r w:rsidR="00C83D2E">
        <w:rPr>
          <w:rFonts w:eastAsia="Times New Roman" w:cs="Arial"/>
          <w:color w:val="auto"/>
          <w:lang w:eastAsia="en-GB"/>
        </w:rPr>
        <w:t>-19</w:t>
      </w:r>
      <w:r w:rsidR="00611276">
        <w:rPr>
          <w:rFonts w:eastAsia="Times New Roman" w:cs="Arial"/>
          <w:color w:val="auto"/>
          <w:lang w:eastAsia="en-GB"/>
        </w:rPr>
        <w:t xml:space="preserve"> </w:t>
      </w:r>
      <w:r w:rsidRPr="00C76601">
        <w:rPr>
          <w:rFonts w:eastAsia="Times New Roman" w:cs="Arial"/>
          <w:color w:val="auto"/>
          <w:lang w:eastAsia="en-GB"/>
        </w:rPr>
        <w:t xml:space="preserve">related matters, which has been charged against the </w:t>
      </w:r>
      <w:r w:rsidR="0026517A">
        <w:rPr>
          <w:rFonts w:eastAsia="Times New Roman" w:cs="Arial"/>
          <w:color w:val="auto"/>
          <w:lang w:eastAsia="en-GB"/>
        </w:rPr>
        <w:t>Covid</w:t>
      </w:r>
      <w:r w:rsidR="00C83D2E">
        <w:rPr>
          <w:rFonts w:eastAsia="Times New Roman" w:cs="Arial"/>
          <w:color w:val="auto"/>
          <w:lang w:eastAsia="en-GB"/>
        </w:rPr>
        <w:t>-19</w:t>
      </w:r>
      <w:r w:rsidRPr="00C76601">
        <w:rPr>
          <w:rFonts w:eastAsia="Times New Roman" w:cs="Arial"/>
          <w:color w:val="auto"/>
          <w:lang w:eastAsia="en-GB"/>
        </w:rPr>
        <w:t xml:space="preserve"> </w:t>
      </w:r>
      <w:r w:rsidR="00C83D2E">
        <w:rPr>
          <w:rFonts w:eastAsia="Times New Roman" w:cs="Arial"/>
          <w:color w:val="auto"/>
          <w:lang w:eastAsia="en-GB"/>
        </w:rPr>
        <w:t>C</w:t>
      </w:r>
      <w:r w:rsidRPr="00C76601">
        <w:rPr>
          <w:rFonts w:eastAsia="Times New Roman" w:cs="Arial"/>
          <w:color w:val="auto"/>
          <w:lang w:eastAsia="en-GB"/>
        </w:rPr>
        <w:t xml:space="preserve">ontain </w:t>
      </w:r>
      <w:r w:rsidR="00C83D2E">
        <w:rPr>
          <w:rFonts w:eastAsia="Times New Roman" w:cs="Arial"/>
          <w:color w:val="auto"/>
          <w:lang w:eastAsia="en-GB"/>
        </w:rPr>
        <w:t>O</w:t>
      </w:r>
      <w:r w:rsidRPr="00C76601">
        <w:rPr>
          <w:rFonts w:eastAsia="Times New Roman" w:cs="Arial"/>
          <w:color w:val="auto"/>
          <w:lang w:eastAsia="en-GB"/>
        </w:rPr>
        <w:t xml:space="preserve">utbreak </w:t>
      </w:r>
      <w:r w:rsidR="00C83D2E">
        <w:rPr>
          <w:rFonts w:eastAsia="Times New Roman" w:cs="Arial"/>
          <w:color w:val="auto"/>
          <w:lang w:eastAsia="en-GB"/>
        </w:rPr>
        <w:t>M</w:t>
      </w:r>
      <w:r w:rsidRPr="00C76601">
        <w:rPr>
          <w:rFonts w:eastAsia="Times New Roman" w:cs="Arial"/>
          <w:color w:val="auto"/>
          <w:lang w:eastAsia="en-GB"/>
        </w:rPr>
        <w:t xml:space="preserve">anagement </w:t>
      </w:r>
      <w:r w:rsidR="00C83D2E">
        <w:rPr>
          <w:rFonts w:eastAsia="Times New Roman" w:cs="Arial"/>
          <w:color w:val="auto"/>
          <w:lang w:eastAsia="en-GB"/>
        </w:rPr>
        <w:t>F</w:t>
      </w:r>
      <w:r w:rsidRPr="00C76601">
        <w:rPr>
          <w:rFonts w:eastAsia="Times New Roman" w:cs="Arial"/>
          <w:color w:val="auto"/>
          <w:lang w:eastAsia="en-GB"/>
        </w:rPr>
        <w:t>und</w:t>
      </w:r>
      <w:r w:rsidR="00C83D2E">
        <w:rPr>
          <w:rFonts w:eastAsia="Times New Roman" w:cs="Arial"/>
          <w:color w:val="auto"/>
          <w:lang w:eastAsia="en-GB"/>
        </w:rPr>
        <w:t xml:space="preserve"> (COMF)</w:t>
      </w:r>
      <w:r w:rsidRPr="00C76601">
        <w:rPr>
          <w:rFonts w:eastAsia="Times New Roman" w:cs="Arial"/>
          <w:color w:val="auto"/>
          <w:lang w:eastAsia="en-GB"/>
        </w:rPr>
        <w:t xml:space="preserve"> grant allocation. </w:t>
      </w:r>
    </w:p>
    <w:p w14:paraId="7D039093" w14:textId="77777777" w:rsidR="00C76601" w:rsidRPr="00C76601" w:rsidRDefault="00162F2E" w:rsidP="005444CD">
      <w:pPr>
        <w:autoSpaceDE/>
        <w:autoSpaceDN/>
        <w:adjustRightInd/>
        <w:spacing w:after="0"/>
        <w:jc w:val="left"/>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 </w:t>
      </w:r>
    </w:p>
    <w:p w14:paraId="0CCE44A7"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b/>
          <w:bCs/>
          <w:color w:val="auto"/>
          <w:lang w:eastAsia="en-GB"/>
        </w:rPr>
        <w:t>C</w:t>
      </w:r>
      <w:r>
        <w:rPr>
          <w:rFonts w:eastAsia="Times New Roman" w:cs="Arial"/>
          <w:b/>
          <w:bCs/>
          <w:color w:val="auto"/>
          <w:lang w:eastAsia="en-GB"/>
        </w:rPr>
        <w:t>orporate</w:t>
      </w:r>
      <w:r w:rsidRPr="00C76601">
        <w:rPr>
          <w:rFonts w:eastAsia="Times New Roman" w:cs="Arial"/>
          <w:b/>
          <w:bCs/>
          <w:color w:val="auto"/>
          <w:lang w:eastAsia="en-GB"/>
        </w:rPr>
        <w:t xml:space="preserve"> </w:t>
      </w:r>
      <w:r w:rsidR="00706EE4" w:rsidRPr="00C76601">
        <w:rPr>
          <w:rFonts w:eastAsia="Times New Roman" w:cs="Arial"/>
          <w:b/>
          <w:bCs/>
          <w:color w:val="auto"/>
          <w:lang w:eastAsia="en-GB"/>
        </w:rPr>
        <w:t xml:space="preserve">Budgets (Funding </w:t>
      </w:r>
      <w:r w:rsidR="00B61F72">
        <w:rPr>
          <w:rFonts w:eastAsia="Times New Roman" w:cs="Arial"/>
          <w:b/>
          <w:bCs/>
          <w:color w:val="auto"/>
          <w:lang w:eastAsia="en-GB"/>
        </w:rPr>
        <w:t>a</w:t>
      </w:r>
      <w:r w:rsidR="00706EE4" w:rsidRPr="00C76601">
        <w:rPr>
          <w:rFonts w:eastAsia="Times New Roman" w:cs="Arial"/>
          <w:b/>
          <w:bCs/>
          <w:color w:val="auto"/>
          <w:lang w:eastAsia="en-GB"/>
        </w:rPr>
        <w:t>nd Grants</w:t>
      </w:r>
      <w:r w:rsidRPr="00C76601">
        <w:rPr>
          <w:rFonts w:eastAsia="Times New Roman" w:cs="Arial"/>
          <w:b/>
          <w:bCs/>
          <w:color w:val="auto"/>
          <w:lang w:eastAsia="en-GB"/>
        </w:rPr>
        <w:t>) – overspend of £1.873m. </w:t>
      </w:r>
      <w:r w:rsidRPr="00C76601">
        <w:rPr>
          <w:rFonts w:eastAsia="Times New Roman" w:cs="Arial"/>
          <w:color w:val="auto"/>
          <w:lang w:eastAsia="en-GB"/>
        </w:rPr>
        <w:t> </w:t>
      </w:r>
    </w:p>
    <w:p w14:paraId="602C67D9"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 </w:t>
      </w:r>
    </w:p>
    <w:p w14:paraId="2298DDFB"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The overspend largely relates to a £2.000m contribution into an insurance provision to reflect the required level of funding available based on recent claim</w:t>
      </w:r>
      <w:r w:rsidR="00DF53E7">
        <w:rPr>
          <w:rFonts w:eastAsia="Times New Roman" w:cs="Arial"/>
          <w:color w:val="auto"/>
          <w:lang w:eastAsia="en-GB"/>
        </w:rPr>
        <w:t>s</w:t>
      </w:r>
      <w:r w:rsidRPr="00C76601">
        <w:rPr>
          <w:rFonts w:eastAsia="Times New Roman" w:cs="Arial"/>
          <w:color w:val="auto"/>
          <w:lang w:eastAsia="en-GB"/>
        </w:rPr>
        <w:t xml:space="preserve"> and an overspend of £61,000 due to Write Offs with no associated bad debt provision. This is offset by underspends on the advertising budget of £188,000. </w:t>
      </w:r>
    </w:p>
    <w:p w14:paraId="5D889A1C"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 </w:t>
      </w:r>
    </w:p>
    <w:p w14:paraId="5C8CF94A"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b/>
          <w:bCs/>
          <w:color w:val="auto"/>
          <w:lang w:eastAsia="en-GB"/>
        </w:rPr>
        <w:t>Corporate Budgets (</w:t>
      </w:r>
      <w:r w:rsidR="00706EE4" w:rsidRPr="00C76601">
        <w:rPr>
          <w:rFonts w:eastAsia="Times New Roman" w:cs="Arial"/>
          <w:b/>
          <w:bCs/>
          <w:color w:val="auto"/>
          <w:lang w:eastAsia="en-GB"/>
        </w:rPr>
        <w:t>Treasury Management</w:t>
      </w:r>
      <w:r w:rsidRPr="00C76601">
        <w:rPr>
          <w:rFonts w:eastAsia="Times New Roman" w:cs="Arial"/>
          <w:b/>
          <w:bCs/>
          <w:color w:val="auto"/>
          <w:lang w:eastAsia="en-GB"/>
        </w:rPr>
        <w:t>) – underspend £13.500m.</w:t>
      </w:r>
      <w:r w:rsidRPr="00C76601">
        <w:rPr>
          <w:rFonts w:eastAsia="Times New Roman" w:cs="Arial"/>
          <w:color w:val="auto"/>
          <w:lang w:eastAsia="en-GB"/>
        </w:rPr>
        <w:t> </w:t>
      </w:r>
    </w:p>
    <w:p w14:paraId="274472E9"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 </w:t>
      </w:r>
    </w:p>
    <w:p w14:paraId="07F9251F"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The Treasury Management service had an underspend of £13.500m, primarily as a result of extra income received through the sale of gilts and bonds taking advantage of the current economic environment and ongoing significant volatility in their pricing.   </w:t>
      </w:r>
    </w:p>
    <w:p w14:paraId="7C11CCE2" w14:textId="0D065246" w:rsidR="00C76601" w:rsidRDefault="00162F2E" w:rsidP="00C76601">
      <w:pPr>
        <w:autoSpaceDE/>
        <w:autoSpaceDN/>
        <w:adjustRightInd/>
        <w:spacing w:after="0"/>
        <w:textAlignment w:val="baseline"/>
        <w:rPr>
          <w:rFonts w:eastAsia="Times New Roman" w:cs="Arial"/>
          <w:color w:val="auto"/>
          <w:lang w:eastAsia="en-GB"/>
        </w:rPr>
      </w:pPr>
      <w:r w:rsidRPr="00C76601">
        <w:rPr>
          <w:rFonts w:eastAsia="Times New Roman" w:cs="Arial"/>
          <w:color w:val="auto"/>
          <w:lang w:eastAsia="en-GB"/>
        </w:rPr>
        <w:t> </w:t>
      </w:r>
    </w:p>
    <w:p w14:paraId="468F0552" w14:textId="77CBF5F9" w:rsidR="00642D26" w:rsidRDefault="00642D26" w:rsidP="00C76601">
      <w:pPr>
        <w:autoSpaceDE/>
        <w:autoSpaceDN/>
        <w:adjustRightInd/>
        <w:spacing w:after="0"/>
        <w:textAlignment w:val="baseline"/>
        <w:rPr>
          <w:rFonts w:eastAsia="Times New Roman" w:cs="Arial"/>
          <w:color w:val="auto"/>
          <w:lang w:eastAsia="en-GB"/>
        </w:rPr>
      </w:pPr>
    </w:p>
    <w:p w14:paraId="66A853D5" w14:textId="62A4EE50" w:rsidR="00642D26" w:rsidRDefault="00642D26" w:rsidP="00C76601">
      <w:pPr>
        <w:autoSpaceDE/>
        <w:autoSpaceDN/>
        <w:adjustRightInd/>
        <w:spacing w:after="0"/>
        <w:textAlignment w:val="baseline"/>
        <w:rPr>
          <w:rFonts w:eastAsia="Times New Roman" w:cs="Arial"/>
          <w:color w:val="auto"/>
          <w:lang w:eastAsia="en-GB"/>
        </w:rPr>
      </w:pPr>
    </w:p>
    <w:p w14:paraId="6C576E64" w14:textId="7132F1C7" w:rsidR="00642D26" w:rsidRDefault="00642D26" w:rsidP="00C76601">
      <w:pPr>
        <w:autoSpaceDE/>
        <w:autoSpaceDN/>
        <w:adjustRightInd/>
        <w:spacing w:after="0"/>
        <w:textAlignment w:val="baseline"/>
        <w:rPr>
          <w:rFonts w:eastAsia="Times New Roman" w:cs="Arial"/>
          <w:color w:val="auto"/>
          <w:lang w:eastAsia="en-GB"/>
        </w:rPr>
      </w:pPr>
    </w:p>
    <w:p w14:paraId="4A725E72" w14:textId="77777777" w:rsidR="00642D26" w:rsidRPr="00C76601" w:rsidRDefault="00642D26" w:rsidP="00C76601">
      <w:pPr>
        <w:autoSpaceDE/>
        <w:autoSpaceDN/>
        <w:adjustRightInd/>
        <w:spacing w:after="0"/>
        <w:textAlignment w:val="baseline"/>
        <w:rPr>
          <w:rFonts w:ascii="Segoe UI" w:eastAsia="Times New Roman" w:hAnsi="Segoe UI" w:cs="Segoe UI"/>
          <w:color w:val="auto"/>
          <w:sz w:val="18"/>
          <w:szCs w:val="18"/>
          <w:lang w:eastAsia="en-GB"/>
        </w:rPr>
      </w:pPr>
    </w:p>
    <w:p w14:paraId="51EDE3E6"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b/>
          <w:bCs/>
          <w:color w:val="auto"/>
          <w:lang w:eastAsia="en-GB"/>
        </w:rPr>
        <w:lastRenderedPageBreak/>
        <w:t>Corporate Budgets (Pensions &amp; Apprenticeship Levy) - underspend of £938,000.</w:t>
      </w:r>
      <w:r w:rsidRPr="00C76601">
        <w:rPr>
          <w:rFonts w:eastAsia="Times New Roman" w:cs="Arial"/>
          <w:color w:val="auto"/>
          <w:lang w:eastAsia="en-GB"/>
        </w:rPr>
        <w:t> </w:t>
      </w:r>
    </w:p>
    <w:p w14:paraId="2E4CDAAD"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auto"/>
          <w:lang w:eastAsia="en-GB"/>
        </w:rPr>
        <w:t> </w:t>
      </w:r>
    </w:p>
    <w:p w14:paraId="556DFCCF" w14:textId="77777777" w:rsidR="00D20CEB" w:rsidRPr="00D20CEB" w:rsidRDefault="00162F2E" w:rsidP="00D20CEB">
      <w:pPr>
        <w:autoSpaceDE/>
        <w:autoSpaceDN/>
        <w:adjustRightInd/>
        <w:spacing w:after="0"/>
        <w:textAlignment w:val="baseline"/>
        <w:rPr>
          <w:rFonts w:eastAsia="Times New Roman" w:cs="Arial"/>
          <w:color w:val="auto"/>
          <w:lang w:eastAsia="en-GB"/>
        </w:rPr>
      </w:pPr>
      <w:r w:rsidRPr="00C76601">
        <w:rPr>
          <w:rFonts w:eastAsia="Times New Roman" w:cs="Arial"/>
          <w:color w:val="auto"/>
          <w:lang w:eastAsia="en-GB"/>
        </w:rPr>
        <w:t xml:space="preserve">This is </w:t>
      </w:r>
      <w:r w:rsidRPr="00D20CEB">
        <w:rPr>
          <w:rFonts w:eastAsia="Times New Roman" w:cs="Arial"/>
          <w:color w:val="auto"/>
          <w:lang w:eastAsia="en-GB"/>
        </w:rPr>
        <w:t xml:space="preserve">largely </w:t>
      </w:r>
      <w:r w:rsidRPr="00C76601">
        <w:rPr>
          <w:rFonts w:eastAsia="Times New Roman" w:cs="Arial"/>
          <w:color w:val="auto"/>
          <w:lang w:eastAsia="en-GB"/>
        </w:rPr>
        <w:t xml:space="preserve">due </w:t>
      </w:r>
      <w:r w:rsidR="007B386D">
        <w:rPr>
          <w:rFonts w:eastAsia="Times New Roman" w:cs="Arial"/>
          <w:color w:val="auto"/>
          <w:lang w:eastAsia="en-GB"/>
        </w:rPr>
        <w:t xml:space="preserve">to an overspend of £0.568m on employer </w:t>
      </w:r>
      <w:r w:rsidRPr="00D20CEB">
        <w:rPr>
          <w:rFonts w:eastAsia="Times New Roman" w:cs="Arial"/>
          <w:color w:val="auto"/>
          <w:lang w:eastAsia="en-GB"/>
        </w:rPr>
        <w:t xml:space="preserve">pension contributions </w:t>
      </w:r>
      <w:r w:rsidR="007B386D">
        <w:rPr>
          <w:rFonts w:eastAsia="Times New Roman" w:cs="Arial"/>
          <w:color w:val="auto"/>
          <w:lang w:eastAsia="en-GB"/>
        </w:rPr>
        <w:t>to reflect a shortfall that had arisen due to</w:t>
      </w:r>
      <w:r w:rsidR="0069446A">
        <w:rPr>
          <w:rFonts w:eastAsia="Times New Roman" w:cs="Arial"/>
          <w:color w:val="auto"/>
          <w:lang w:eastAsia="en-GB"/>
        </w:rPr>
        <w:t xml:space="preserve"> </w:t>
      </w:r>
      <w:r w:rsidRPr="00D20CEB">
        <w:rPr>
          <w:rFonts w:eastAsia="Times New Roman" w:cs="Arial"/>
          <w:color w:val="auto"/>
          <w:lang w:eastAsia="en-GB"/>
        </w:rPr>
        <w:t xml:space="preserve">differences between the actual pensionable payroll and the estimated pensionable payroll when the prepayment was calculated </w:t>
      </w:r>
      <w:r w:rsidR="007B386D">
        <w:rPr>
          <w:rFonts w:eastAsia="Times New Roman" w:cs="Arial"/>
          <w:color w:val="auto"/>
          <w:lang w:eastAsia="en-GB"/>
        </w:rPr>
        <w:t xml:space="preserve">by the actuary </w:t>
      </w:r>
      <w:r w:rsidRPr="00D20CEB">
        <w:rPr>
          <w:rFonts w:eastAsia="Times New Roman" w:cs="Arial"/>
          <w:color w:val="auto"/>
          <w:lang w:eastAsia="en-GB"/>
        </w:rPr>
        <w:t>in 2021.</w:t>
      </w:r>
    </w:p>
    <w:p w14:paraId="46377F0C" w14:textId="77777777" w:rsidR="00D20CEB" w:rsidRPr="00D20CEB" w:rsidRDefault="00D20CEB" w:rsidP="00D20CEB">
      <w:pPr>
        <w:autoSpaceDE/>
        <w:autoSpaceDN/>
        <w:adjustRightInd/>
        <w:spacing w:after="0"/>
        <w:textAlignment w:val="baseline"/>
        <w:rPr>
          <w:rFonts w:eastAsia="Times New Roman" w:cs="Arial"/>
          <w:color w:val="auto"/>
          <w:lang w:eastAsia="en-GB"/>
        </w:rPr>
      </w:pPr>
    </w:p>
    <w:p w14:paraId="5A11D230" w14:textId="77777777" w:rsidR="002E6457" w:rsidRDefault="00162F2E" w:rsidP="002E6457">
      <w:pPr>
        <w:tabs>
          <w:tab w:val="left" w:pos="426"/>
        </w:tabs>
        <w:spacing w:before="100" w:beforeAutospacing="1" w:after="100" w:afterAutospacing="1"/>
        <w:contextualSpacing/>
        <w:rPr>
          <w:rFonts w:eastAsia="Times New Roman" w:cs="Arial"/>
          <w:bCs/>
          <w:lang w:eastAsia="en-GB"/>
        </w:rPr>
      </w:pPr>
      <w:r w:rsidRPr="007375C3">
        <w:rPr>
          <w:rFonts w:eastAsia="Times New Roman" w:cs="Arial"/>
          <w:bCs/>
          <w:lang w:eastAsia="en-GB"/>
        </w:rPr>
        <w:t xml:space="preserve">There is an additional offset of £1.510m underspend on inherited pensions liabilities which are charged directly to Lancashire and not the </w:t>
      </w:r>
      <w:r>
        <w:rPr>
          <w:rFonts w:eastAsia="Times New Roman" w:cs="Arial"/>
          <w:bCs/>
          <w:lang w:eastAsia="en-GB"/>
        </w:rPr>
        <w:t xml:space="preserve">pension </w:t>
      </w:r>
      <w:r w:rsidRPr="007375C3">
        <w:rPr>
          <w:rFonts w:eastAsia="Times New Roman" w:cs="Arial"/>
          <w:bCs/>
          <w:lang w:eastAsia="en-GB"/>
        </w:rPr>
        <w:t>fund.</w:t>
      </w:r>
    </w:p>
    <w:p w14:paraId="78B96BAD" w14:textId="77777777" w:rsidR="00C76601" w:rsidRPr="00C76601" w:rsidRDefault="00162F2E" w:rsidP="00C76601">
      <w:pPr>
        <w:autoSpaceDE/>
        <w:autoSpaceDN/>
        <w:adjustRightInd/>
        <w:spacing w:after="0"/>
        <w:textAlignment w:val="baseline"/>
        <w:rPr>
          <w:rFonts w:ascii="Segoe UI" w:eastAsia="Times New Roman" w:hAnsi="Segoe UI" w:cs="Segoe UI"/>
          <w:color w:val="auto"/>
          <w:sz w:val="18"/>
          <w:szCs w:val="18"/>
          <w:lang w:eastAsia="en-GB"/>
        </w:rPr>
      </w:pPr>
      <w:r w:rsidRPr="00C76601">
        <w:rPr>
          <w:rFonts w:eastAsia="Times New Roman" w:cs="Arial"/>
          <w:color w:val="FF0000"/>
          <w:lang w:eastAsia="en-GB"/>
        </w:rPr>
        <w:t> </w:t>
      </w:r>
    </w:p>
    <w:p w14:paraId="7C64CFCB" w14:textId="77777777" w:rsidR="00C76601" w:rsidRPr="00C76601" w:rsidRDefault="00162F2E" w:rsidP="00C76601">
      <w:pPr>
        <w:autoSpaceDE/>
        <w:autoSpaceDN/>
        <w:adjustRightInd/>
        <w:spacing w:after="0"/>
        <w:jc w:val="left"/>
        <w:textAlignment w:val="baseline"/>
        <w:rPr>
          <w:rFonts w:ascii="Segoe UI" w:eastAsia="Times New Roman" w:hAnsi="Segoe UI" w:cs="Segoe UI"/>
          <w:color w:val="auto"/>
          <w:sz w:val="18"/>
          <w:szCs w:val="18"/>
          <w:lang w:eastAsia="en-GB"/>
        </w:rPr>
      </w:pPr>
      <w:r w:rsidRPr="00C76601">
        <w:rPr>
          <w:rFonts w:ascii="Calibri" w:eastAsia="Times New Roman" w:hAnsi="Calibri" w:cs="Calibri"/>
          <w:color w:val="FF0000"/>
          <w:sz w:val="22"/>
          <w:szCs w:val="22"/>
          <w:lang w:eastAsia="en-GB"/>
        </w:rPr>
        <w:t> </w:t>
      </w:r>
    </w:p>
    <w:p w14:paraId="42849A01" w14:textId="77777777" w:rsidR="00C76601" w:rsidRPr="007A01F4" w:rsidRDefault="00C76601" w:rsidP="00D10794">
      <w:pPr>
        <w:spacing w:after="0"/>
        <w:rPr>
          <w:rFonts w:cs="Arial"/>
          <w:b/>
        </w:rPr>
      </w:pPr>
    </w:p>
    <w:p w14:paraId="7414EA8F" w14:textId="77777777" w:rsidR="00D10794" w:rsidRPr="00812801" w:rsidRDefault="00D10794" w:rsidP="00D10794">
      <w:pPr>
        <w:autoSpaceDE/>
        <w:autoSpaceDN/>
        <w:adjustRightInd/>
        <w:spacing w:after="0"/>
        <w:rPr>
          <w:rFonts w:cs="Arial"/>
          <w:highlight w:val="yellow"/>
        </w:rPr>
      </w:pPr>
    </w:p>
    <w:p w14:paraId="617753C1" w14:textId="77777777" w:rsidR="00D10794" w:rsidRPr="00812801" w:rsidRDefault="00D10794" w:rsidP="00D10794">
      <w:pPr>
        <w:spacing w:after="0"/>
        <w:jc w:val="left"/>
        <w:rPr>
          <w:rFonts w:cs="Arial"/>
          <w:highlight w:val="yellow"/>
        </w:rPr>
      </w:pPr>
    </w:p>
    <w:p w14:paraId="39D4EADB" w14:textId="77777777" w:rsidR="00D10794" w:rsidRPr="00812801" w:rsidRDefault="00D10794" w:rsidP="00D10794">
      <w:pPr>
        <w:spacing w:after="0"/>
        <w:jc w:val="left"/>
        <w:rPr>
          <w:rFonts w:eastAsia="Cambria" w:cs="Arial"/>
          <w:sz w:val="23"/>
          <w:szCs w:val="23"/>
          <w:highlight w:val="yellow"/>
          <w:lang w:eastAsia="en-GB"/>
        </w:rPr>
      </w:pPr>
    </w:p>
    <w:p w14:paraId="3842A1EF" w14:textId="77777777" w:rsidR="00FA1855" w:rsidRDefault="00162F2E" w:rsidP="00FA1855">
      <w:pPr>
        <w:spacing w:after="0"/>
        <w:rPr>
          <w:rFonts w:cs="Arial"/>
          <w:b/>
          <w:bCs/>
          <w:color w:val="auto"/>
        </w:rPr>
      </w:pPr>
      <w:r w:rsidRPr="00812801">
        <w:rPr>
          <w:rFonts w:cs="Arial"/>
          <w:b/>
          <w:bCs/>
          <w:highlight w:val="yellow"/>
        </w:rPr>
        <w:br w:type="page"/>
      </w:r>
      <w:r w:rsidRPr="004274AD">
        <w:rPr>
          <w:rFonts w:cs="Arial"/>
          <w:b/>
          <w:bCs/>
          <w:color w:val="auto"/>
        </w:rPr>
        <w:lastRenderedPageBreak/>
        <w:t>Section B - Schools Spending 2021/22</w:t>
      </w:r>
    </w:p>
    <w:p w14:paraId="3137B6B1" w14:textId="77777777" w:rsidR="00FA1855" w:rsidRPr="004274AD" w:rsidRDefault="00FA1855" w:rsidP="00FA1855">
      <w:pPr>
        <w:spacing w:after="0"/>
        <w:rPr>
          <w:rFonts w:cs="Arial"/>
          <w:b/>
          <w:bCs/>
          <w:color w:val="auto"/>
        </w:rPr>
      </w:pPr>
    </w:p>
    <w:p w14:paraId="41685F92" w14:textId="77777777" w:rsidR="00FA1855" w:rsidRPr="004274AD" w:rsidRDefault="00162F2E" w:rsidP="00FA1855">
      <w:pPr>
        <w:spacing w:after="0"/>
        <w:rPr>
          <w:color w:val="auto"/>
        </w:rPr>
      </w:pPr>
      <w:r w:rsidRPr="004274AD">
        <w:rPr>
          <w:color w:val="auto"/>
        </w:rPr>
        <w:t xml:space="preserve">The final outturn position against schools delegated budgets </w:t>
      </w:r>
      <w:bookmarkStart w:id="1" w:name="_Int_9zjdj6hZ"/>
      <w:r w:rsidRPr="004274AD">
        <w:rPr>
          <w:color w:val="auto"/>
        </w:rPr>
        <w:t>at</w:t>
      </w:r>
      <w:bookmarkEnd w:id="1"/>
      <w:r w:rsidRPr="004274AD">
        <w:rPr>
          <w:color w:val="auto"/>
        </w:rPr>
        <w:t xml:space="preserve"> 31 March 202</w:t>
      </w:r>
      <w:r>
        <w:rPr>
          <w:color w:val="auto"/>
        </w:rPr>
        <w:t>2</w:t>
      </w:r>
      <w:r w:rsidRPr="004274AD">
        <w:rPr>
          <w:color w:val="auto"/>
        </w:rPr>
        <w:t xml:space="preserve"> is an underspend of £</w:t>
      </w:r>
      <w:r w:rsidRPr="00E6393A">
        <w:rPr>
          <w:color w:val="auto"/>
        </w:rPr>
        <w:t>5.173</w:t>
      </w:r>
      <w:r w:rsidRPr="004274AD">
        <w:rPr>
          <w:color w:val="auto"/>
        </w:rPr>
        <w:t xml:space="preserve">m. </w:t>
      </w:r>
      <w:r>
        <w:rPr>
          <w:color w:val="auto"/>
        </w:rPr>
        <w:t xml:space="preserve"> </w:t>
      </w:r>
      <w:r w:rsidRPr="004274AD">
        <w:rPr>
          <w:color w:val="auto"/>
        </w:rPr>
        <w:t>This means that school balances have increased by £</w:t>
      </w:r>
      <w:r w:rsidRPr="00E6393A">
        <w:rPr>
          <w:color w:val="auto"/>
        </w:rPr>
        <w:t>5.173</w:t>
      </w:r>
      <w:r w:rsidRPr="004274AD">
        <w:rPr>
          <w:color w:val="auto"/>
        </w:rPr>
        <w:t>m in 2021/22, to a total of £</w:t>
      </w:r>
      <w:r w:rsidRPr="00E6393A">
        <w:rPr>
          <w:color w:val="auto"/>
        </w:rPr>
        <w:t>95.325m</w:t>
      </w:r>
      <w:r w:rsidRPr="004274AD">
        <w:rPr>
          <w:color w:val="auto"/>
        </w:rPr>
        <w:t xml:space="preserve">.  </w:t>
      </w:r>
    </w:p>
    <w:p w14:paraId="5C273183" w14:textId="77777777" w:rsidR="00FA1855" w:rsidRPr="004274AD" w:rsidRDefault="00FA1855" w:rsidP="00FA1855">
      <w:pPr>
        <w:spacing w:after="0"/>
        <w:rPr>
          <w:color w:val="auto"/>
        </w:rPr>
      </w:pPr>
    </w:p>
    <w:p w14:paraId="66A367BF" w14:textId="77777777" w:rsidR="00FA1855" w:rsidRPr="004274AD" w:rsidRDefault="00162F2E" w:rsidP="00FA1855">
      <w:pPr>
        <w:spacing w:after="0"/>
        <w:rPr>
          <w:color w:val="auto"/>
        </w:rPr>
      </w:pPr>
      <w:r w:rsidRPr="004274AD">
        <w:rPr>
          <w:color w:val="auto"/>
        </w:rPr>
        <w:t>The tables below show analysis of school balances by phase at the end of the financial year 2021/22.</w:t>
      </w:r>
    </w:p>
    <w:p w14:paraId="25CFFF94" w14:textId="77777777" w:rsidR="00FA1855" w:rsidRPr="004274AD" w:rsidRDefault="00FA1855" w:rsidP="00FA1855">
      <w:pPr>
        <w:spacing w:after="0"/>
        <w:rPr>
          <w:rFonts w:cs="Arial"/>
          <w:color w:val="auto"/>
        </w:rPr>
      </w:pPr>
    </w:p>
    <w:p w14:paraId="378C878A" w14:textId="77777777" w:rsidR="00FA1855" w:rsidRPr="004274AD" w:rsidRDefault="00162F2E" w:rsidP="00FA1855">
      <w:pPr>
        <w:spacing w:after="0"/>
        <w:rPr>
          <w:rFonts w:cs="Arial"/>
          <w:b/>
          <w:color w:val="auto"/>
        </w:rPr>
      </w:pPr>
      <w:r w:rsidRPr="004274AD">
        <w:rPr>
          <w:rFonts w:cs="Arial"/>
          <w:b/>
          <w:color w:val="auto"/>
        </w:rPr>
        <w:t>2021/22 School Balances - In-Year Movement of Balances by Phase</w:t>
      </w:r>
    </w:p>
    <w:p w14:paraId="25388A82" w14:textId="77777777" w:rsidR="00FA1855" w:rsidRPr="004274AD" w:rsidRDefault="00FA1855" w:rsidP="00FA1855">
      <w:pPr>
        <w:spacing w:after="0"/>
        <w:rPr>
          <w:rFonts w:cs="Arial"/>
          <w:b/>
          <w:color w:val="auto"/>
        </w:rPr>
      </w:pPr>
    </w:p>
    <w:tbl>
      <w:tblPr>
        <w:tblW w:w="9002" w:type="dxa"/>
        <w:tblInd w:w="5" w:type="dxa"/>
        <w:tblLayout w:type="fixed"/>
        <w:tblCellMar>
          <w:left w:w="0" w:type="dxa"/>
          <w:right w:w="0" w:type="dxa"/>
        </w:tblCellMar>
        <w:tblLook w:val="04A0" w:firstRow="1" w:lastRow="0" w:firstColumn="1" w:lastColumn="0" w:noHBand="0" w:noVBand="1"/>
      </w:tblPr>
      <w:tblGrid>
        <w:gridCol w:w="2250"/>
        <w:gridCol w:w="2251"/>
        <w:gridCol w:w="2250"/>
        <w:gridCol w:w="2251"/>
      </w:tblGrid>
      <w:tr w:rsidR="006E5B54" w14:paraId="07C5591A" w14:textId="77777777" w:rsidTr="00E1345A">
        <w:trPr>
          <w:trHeight w:val="355"/>
        </w:trPr>
        <w:tc>
          <w:tcPr>
            <w:tcW w:w="2250" w:type="dxa"/>
            <w:tcBorders>
              <w:top w:val="single" w:sz="4" w:space="0" w:color="auto"/>
              <w:left w:val="single" w:sz="4" w:space="0" w:color="auto"/>
              <w:right w:val="single" w:sz="4" w:space="0" w:color="auto"/>
            </w:tcBorders>
            <w:shd w:val="clear" w:color="auto" w:fill="BFBFBF" w:themeFill="background1" w:themeFillShade="BF"/>
            <w:noWrap/>
            <w:vAlign w:val="center"/>
            <w:hideMark/>
          </w:tcPr>
          <w:p w14:paraId="05265ABF" w14:textId="77777777" w:rsidR="00FA1855" w:rsidRPr="00FA383A" w:rsidRDefault="00162F2E" w:rsidP="00704341">
            <w:pPr>
              <w:spacing w:after="0"/>
              <w:jc w:val="center"/>
              <w:rPr>
                <w:rFonts w:cs="Arial"/>
                <w:b/>
                <w:color w:val="auto"/>
                <w:sz w:val="20"/>
                <w:szCs w:val="20"/>
              </w:rPr>
            </w:pPr>
            <w:r w:rsidRPr="00FA383A">
              <w:rPr>
                <w:rFonts w:cs="Arial"/>
                <w:b/>
                <w:color w:val="auto"/>
                <w:sz w:val="20"/>
                <w:szCs w:val="20"/>
              </w:rPr>
              <w:t>Phase</w:t>
            </w:r>
          </w:p>
        </w:tc>
        <w:tc>
          <w:tcPr>
            <w:tcW w:w="2251" w:type="dxa"/>
            <w:tcBorders>
              <w:top w:val="single" w:sz="4" w:space="0" w:color="auto"/>
              <w:left w:val="nil"/>
              <w:right w:val="single" w:sz="4" w:space="0" w:color="auto"/>
            </w:tcBorders>
            <w:shd w:val="clear" w:color="auto" w:fill="BFBFBF" w:themeFill="background1" w:themeFillShade="BF"/>
            <w:noWrap/>
            <w:vAlign w:val="bottom"/>
            <w:hideMark/>
          </w:tcPr>
          <w:p w14:paraId="2B7409BC" w14:textId="77777777" w:rsidR="00FA1855" w:rsidRPr="00FA383A" w:rsidRDefault="00162F2E" w:rsidP="00704341">
            <w:pPr>
              <w:spacing w:after="0"/>
              <w:jc w:val="center"/>
              <w:rPr>
                <w:rFonts w:cs="Arial"/>
                <w:b/>
                <w:color w:val="auto"/>
                <w:sz w:val="20"/>
                <w:szCs w:val="20"/>
              </w:rPr>
            </w:pPr>
            <w:r w:rsidRPr="00FA383A">
              <w:rPr>
                <w:rFonts w:cs="Arial"/>
                <w:b/>
                <w:color w:val="auto"/>
                <w:sz w:val="20"/>
                <w:szCs w:val="20"/>
              </w:rPr>
              <w:t xml:space="preserve">Balance Brought Forward as </w:t>
            </w:r>
            <w:bookmarkStart w:id="2" w:name="_Int_gDlSLFES"/>
            <w:r w:rsidRPr="00FA383A">
              <w:rPr>
                <w:rFonts w:cs="Arial"/>
                <w:b/>
                <w:color w:val="auto"/>
                <w:sz w:val="20"/>
                <w:szCs w:val="20"/>
              </w:rPr>
              <w:t>at</w:t>
            </w:r>
            <w:bookmarkEnd w:id="2"/>
            <w:r w:rsidRPr="00FA383A">
              <w:rPr>
                <w:rFonts w:cs="Arial"/>
                <w:b/>
                <w:color w:val="auto"/>
                <w:sz w:val="20"/>
                <w:szCs w:val="20"/>
              </w:rPr>
              <w:t xml:space="preserve"> 1 April 2021</w:t>
            </w:r>
          </w:p>
        </w:tc>
        <w:tc>
          <w:tcPr>
            <w:tcW w:w="2250" w:type="dxa"/>
            <w:tcBorders>
              <w:top w:val="single" w:sz="4" w:space="0" w:color="auto"/>
              <w:left w:val="nil"/>
              <w:right w:val="single" w:sz="4" w:space="0" w:color="auto"/>
            </w:tcBorders>
            <w:shd w:val="clear" w:color="auto" w:fill="BFBFBF" w:themeFill="background1" w:themeFillShade="BF"/>
            <w:noWrap/>
            <w:vAlign w:val="center"/>
          </w:tcPr>
          <w:p w14:paraId="1DA63B8E" w14:textId="77777777" w:rsidR="00FA1855" w:rsidRPr="00FA383A" w:rsidRDefault="00162F2E" w:rsidP="00BE25B2">
            <w:pPr>
              <w:spacing w:after="0"/>
              <w:jc w:val="center"/>
              <w:rPr>
                <w:rFonts w:cs="Arial"/>
                <w:b/>
                <w:color w:val="auto"/>
                <w:sz w:val="20"/>
                <w:szCs w:val="20"/>
              </w:rPr>
            </w:pPr>
            <w:r w:rsidRPr="00FA383A">
              <w:rPr>
                <w:rFonts w:cs="Arial"/>
                <w:b/>
                <w:color w:val="auto"/>
                <w:sz w:val="20"/>
                <w:szCs w:val="20"/>
              </w:rPr>
              <w:t>In-year Increase / (Decrease) 21/22</w:t>
            </w:r>
          </w:p>
        </w:tc>
        <w:tc>
          <w:tcPr>
            <w:tcW w:w="2251" w:type="dxa"/>
            <w:tcBorders>
              <w:top w:val="single" w:sz="4" w:space="0" w:color="auto"/>
              <w:left w:val="nil"/>
              <w:right w:val="single" w:sz="4" w:space="0" w:color="auto"/>
            </w:tcBorders>
            <w:shd w:val="clear" w:color="auto" w:fill="BFBFBF" w:themeFill="background1" w:themeFillShade="BF"/>
            <w:noWrap/>
            <w:vAlign w:val="bottom"/>
          </w:tcPr>
          <w:p w14:paraId="0D476A4A" w14:textId="77777777" w:rsidR="00FA1855" w:rsidRPr="00FA383A" w:rsidRDefault="00162F2E" w:rsidP="00704341">
            <w:pPr>
              <w:spacing w:after="0"/>
              <w:jc w:val="center"/>
              <w:rPr>
                <w:rFonts w:cs="Arial"/>
                <w:b/>
                <w:color w:val="auto"/>
                <w:sz w:val="20"/>
                <w:szCs w:val="20"/>
              </w:rPr>
            </w:pPr>
            <w:r w:rsidRPr="00FA383A">
              <w:rPr>
                <w:rFonts w:cs="Arial"/>
                <w:b/>
                <w:color w:val="auto"/>
                <w:sz w:val="20"/>
                <w:szCs w:val="20"/>
              </w:rPr>
              <w:t xml:space="preserve">Balance Carried Forward as </w:t>
            </w:r>
            <w:bookmarkStart w:id="3" w:name="_Int_SgeqhDx7"/>
            <w:r w:rsidRPr="00FA383A">
              <w:rPr>
                <w:rFonts w:cs="Arial"/>
                <w:b/>
                <w:color w:val="auto"/>
                <w:sz w:val="20"/>
                <w:szCs w:val="20"/>
              </w:rPr>
              <w:t>at</w:t>
            </w:r>
            <w:bookmarkEnd w:id="3"/>
            <w:r w:rsidRPr="00FA383A">
              <w:rPr>
                <w:rFonts w:cs="Arial"/>
                <w:b/>
                <w:color w:val="auto"/>
                <w:sz w:val="20"/>
                <w:szCs w:val="20"/>
              </w:rPr>
              <w:t xml:space="preserve"> 31 March 22</w:t>
            </w:r>
          </w:p>
        </w:tc>
      </w:tr>
      <w:tr w:rsidR="006E5B54" w14:paraId="4987A445" w14:textId="77777777" w:rsidTr="00E1345A">
        <w:trPr>
          <w:trHeight w:val="355"/>
        </w:trPr>
        <w:tc>
          <w:tcPr>
            <w:tcW w:w="225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8F7E11C" w14:textId="77777777" w:rsidR="00FA1855" w:rsidRPr="00FA383A" w:rsidRDefault="00FA1855" w:rsidP="00704341">
            <w:pPr>
              <w:spacing w:after="0"/>
              <w:jc w:val="center"/>
              <w:rPr>
                <w:rFonts w:cs="Arial"/>
                <w:b/>
                <w:color w:val="auto"/>
                <w:sz w:val="20"/>
                <w:szCs w:val="20"/>
              </w:rPr>
            </w:pPr>
          </w:p>
        </w:tc>
        <w:tc>
          <w:tcPr>
            <w:tcW w:w="2251" w:type="dxa"/>
            <w:tcBorders>
              <w:top w:val="nil"/>
              <w:left w:val="nil"/>
              <w:bottom w:val="single" w:sz="4" w:space="0" w:color="auto"/>
              <w:right w:val="single" w:sz="4" w:space="0" w:color="auto"/>
            </w:tcBorders>
            <w:shd w:val="clear" w:color="auto" w:fill="BFBFBF" w:themeFill="background1" w:themeFillShade="BF"/>
            <w:noWrap/>
            <w:vAlign w:val="bottom"/>
            <w:hideMark/>
          </w:tcPr>
          <w:p w14:paraId="1883BE86" w14:textId="77777777" w:rsidR="00FA1855" w:rsidRPr="00FA383A" w:rsidRDefault="00162F2E" w:rsidP="00704341">
            <w:pPr>
              <w:spacing w:after="0"/>
              <w:jc w:val="center"/>
              <w:rPr>
                <w:rFonts w:cs="Arial"/>
                <w:b/>
                <w:color w:val="auto"/>
                <w:sz w:val="20"/>
                <w:szCs w:val="20"/>
              </w:rPr>
            </w:pPr>
            <w:r w:rsidRPr="00FA383A">
              <w:rPr>
                <w:rFonts w:cs="Arial"/>
                <w:b/>
                <w:color w:val="auto"/>
                <w:sz w:val="20"/>
                <w:szCs w:val="20"/>
              </w:rPr>
              <w:t>£m</w:t>
            </w:r>
          </w:p>
        </w:tc>
        <w:tc>
          <w:tcPr>
            <w:tcW w:w="2250" w:type="dxa"/>
            <w:tcBorders>
              <w:top w:val="nil"/>
              <w:left w:val="nil"/>
              <w:bottom w:val="single" w:sz="4" w:space="0" w:color="auto"/>
              <w:right w:val="single" w:sz="4" w:space="0" w:color="auto"/>
            </w:tcBorders>
            <w:shd w:val="clear" w:color="auto" w:fill="BFBFBF" w:themeFill="background1" w:themeFillShade="BF"/>
            <w:noWrap/>
            <w:vAlign w:val="bottom"/>
          </w:tcPr>
          <w:p w14:paraId="1130DBDF" w14:textId="77777777" w:rsidR="00FA1855" w:rsidRPr="00FA383A" w:rsidRDefault="00162F2E" w:rsidP="00704341">
            <w:pPr>
              <w:spacing w:after="0"/>
              <w:jc w:val="center"/>
              <w:rPr>
                <w:rFonts w:cs="Arial"/>
                <w:b/>
                <w:color w:val="auto"/>
                <w:sz w:val="20"/>
                <w:szCs w:val="20"/>
              </w:rPr>
            </w:pPr>
            <w:r w:rsidRPr="00FA383A">
              <w:rPr>
                <w:rFonts w:cs="Arial"/>
                <w:b/>
                <w:color w:val="auto"/>
                <w:sz w:val="20"/>
                <w:szCs w:val="20"/>
              </w:rPr>
              <w:t>£m</w:t>
            </w:r>
          </w:p>
        </w:tc>
        <w:tc>
          <w:tcPr>
            <w:tcW w:w="2251" w:type="dxa"/>
            <w:tcBorders>
              <w:top w:val="nil"/>
              <w:left w:val="nil"/>
              <w:bottom w:val="single" w:sz="4" w:space="0" w:color="auto"/>
              <w:right w:val="single" w:sz="4" w:space="0" w:color="auto"/>
            </w:tcBorders>
            <w:shd w:val="clear" w:color="auto" w:fill="BFBFBF" w:themeFill="background1" w:themeFillShade="BF"/>
            <w:noWrap/>
            <w:vAlign w:val="bottom"/>
          </w:tcPr>
          <w:p w14:paraId="1A6FAE8A" w14:textId="77777777" w:rsidR="00FA1855" w:rsidRPr="00FA383A" w:rsidRDefault="00162F2E" w:rsidP="00704341">
            <w:pPr>
              <w:spacing w:after="0"/>
              <w:jc w:val="center"/>
              <w:rPr>
                <w:rFonts w:cs="Arial"/>
                <w:b/>
                <w:color w:val="auto"/>
                <w:sz w:val="20"/>
                <w:szCs w:val="20"/>
              </w:rPr>
            </w:pPr>
            <w:r w:rsidRPr="00FA383A">
              <w:rPr>
                <w:rFonts w:cs="Arial"/>
                <w:b/>
                <w:color w:val="auto"/>
                <w:sz w:val="20"/>
                <w:szCs w:val="20"/>
              </w:rPr>
              <w:t>£m</w:t>
            </w:r>
          </w:p>
        </w:tc>
      </w:tr>
      <w:tr w:rsidR="006E5B54" w14:paraId="5350DF65" w14:textId="77777777" w:rsidTr="000C7D20">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3B5D77C" w14:textId="77777777" w:rsidR="00FA1855" w:rsidRPr="00FA383A" w:rsidRDefault="00162F2E" w:rsidP="00704341">
            <w:pPr>
              <w:spacing w:after="0"/>
              <w:rPr>
                <w:rFonts w:cs="Arial"/>
                <w:bCs/>
                <w:color w:val="auto"/>
                <w:sz w:val="20"/>
                <w:szCs w:val="20"/>
              </w:rPr>
            </w:pPr>
            <w:r w:rsidRPr="00FA383A">
              <w:rPr>
                <w:rFonts w:cs="Arial"/>
                <w:bCs/>
                <w:color w:val="auto"/>
                <w:sz w:val="20"/>
                <w:szCs w:val="20"/>
              </w:rPr>
              <w:t>Nursery</w:t>
            </w:r>
          </w:p>
        </w:tc>
        <w:tc>
          <w:tcPr>
            <w:tcW w:w="2251" w:type="dxa"/>
            <w:tcBorders>
              <w:top w:val="nil"/>
              <w:left w:val="nil"/>
              <w:bottom w:val="single" w:sz="4" w:space="0" w:color="auto"/>
              <w:right w:val="single" w:sz="4" w:space="0" w:color="auto"/>
            </w:tcBorders>
            <w:shd w:val="clear" w:color="auto" w:fill="auto"/>
            <w:noWrap/>
            <w:vAlign w:val="center"/>
            <w:hideMark/>
          </w:tcPr>
          <w:p w14:paraId="2218A9E2"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0.745</w:t>
            </w:r>
          </w:p>
        </w:tc>
        <w:tc>
          <w:tcPr>
            <w:tcW w:w="2250" w:type="dxa"/>
            <w:tcBorders>
              <w:top w:val="nil"/>
              <w:left w:val="nil"/>
              <w:bottom w:val="single" w:sz="4" w:space="0" w:color="auto"/>
              <w:right w:val="single" w:sz="4" w:space="0" w:color="auto"/>
            </w:tcBorders>
            <w:shd w:val="clear" w:color="auto" w:fill="auto"/>
            <w:noWrap/>
            <w:vAlign w:val="center"/>
          </w:tcPr>
          <w:p w14:paraId="273A0411"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0.053</w:t>
            </w:r>
          </w:p>
        </w:tc>
        <w:tc>
          <w:tcPr>
            <w:tcW w:w="2251" w:type="dxa"/>
            <w:tcBorders>
              <w:top w:val="nil"/>
              <w:left w:val="nil"/>
              <w:bottom w:val="single" w:sz="4" w:space="0" w:color="auto"/>
              <w:right w:val="single" w:sz="4" w:space="0" w:color="auto"/>
            </w:tcBorders>
            <w:shd w:val="clear" w:color="auto" w:fill="auto"/>
            <w:noWrap/>
            <w:vAlign w:val="center"/>
          </w:tcPr>
          <w:p w14:paraId="77BAC628"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0.798</w:t>
            </w:r>
          </w:p>
        </w:tc>
      </w:tr>
      <w:tr w:rsidR="006E5B54" w14:paraId="406F8113" w14:textId="77777777" w:rsidTr="000C7D20">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0971110" w14:textId="77777777" w:rsidR="00FA1855" w:rsidRPr="00FA383A" w:rsidRDefault="00162F2E" w:rsidP="00704341">
            <w:pPr>
              <w:spacing w:after="0"/>
              <w:rPr>
                <w:rFonts w:cs="Arial"/>
                <w:bCs/>
                <w:color w:val="auto"/>
                <w:sz w:val="20"/>
                <w:szCs w:val="20"/>
              </w:rPr>
            </w:pPr>
            <w:r w:rsidRPr="00FA383A">
              <w:rPr>
                <w:rFonts w:cs="Arial"/>
                <w:bCs/>
                <w:color w:val="auto"/>
                <w:sz w:val="20"/>
                <w:szCs w:val="20"/>
              </w:rPr>
              <w:t>Primary</w:t>
            </w:r>
          </w:p>
        </w:tc>
        <w:tc>
          <w:tcPr>
            <w:tcW w:w="2251" w:type="dxa"/>
            <w:tcBorders>
              <w:top w:val="nil"/>
              <w:left w:val="nil"/>
              <w:bottom w:val="single" w:sz="4" w:space="0" w:color="auto"/>
              <w:right w:val="single" w:sz="4" w:space="0" w:color="auto"/>
            </w:tcBorders>
            <w:shd w:val="clear" w:color="auto" w:fill="auto"/>
            <w:noWrap/>
            <w:vAlign w:val="center"/>
            <w:hideMark/>
          </w:tcPr>
          <w:p w14:paraId="1E7677D1"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58.429</w:t>
            </w:r>
          </w:p>
        </w:tc>
        <w:tc>
          <w:tcPr>
            <w:tcW w:w="2250" w:type="dxa"/>
            <w:tcBorders>
              <w:top w:val="nil"/>
              <w:left w:val="nil"/>
              <w:bottom w:val="single" w:sz="4" w:space="0" w:color="auto"/>
              <w:right w:val="single" w:sz="4" w:space="0" w:color="auto"/>
            </w:tcBorders>
            <w:shd w:val="clear" w:color="auto" w:fill="auto"/>
            <w:noWrap/>
            <w:vAlign w:val="center"/>
          </w:tcPr>
          <w:p w14:paraId="41DF6112" w14:textId="77777777" w:rsidR="00FA1855" w:rsidRPr="00FA383A" w:rsidRDefault="00162F2E" w:rsidP="000C7D20">
            <w:pPr>
              <w:spacing w:after="0"/>
              <w:jc w:val="right"/>
              <w:rPr>
                <w:rFonts w:cs="Arial"/>
                <w:bCs/>
                <w:color w:val="FF0000"/>
                <w:sz w:val="20"/>
                <w:szCs w:val="20"/>
              </w:rPr>
            </w:pPr>
            <w:r w:rsidRPr="00FA383A">
              <w:rPr>
                <w:rFonts w:cs="Arial"/>
                <w:bCs/>
                <w:color w:val="FF0000"/>
                <w:sz w:val="20"/>
                <w:szCs w:val="20"/>
              </w:rPr>
              <w:t>-(2.677)</w:t>
            </w:r>
          </w:p>
        </w:tc>
        <w:tc>
          <w:tcPr>
            <w:tcW w:w="2251" w:type="dxa"/>
            <w:tcBorders>
              <w:top w:val="nil"/>
              <w:left w:val="nil"/>
              <w:bottom w:val="single" w:sz="4" w:space="0" w:color="auto"/>
              <w:right w:val="single" w:sz="4" w:space="0" w:color="auto"/>
            </w:tcBorders>
            <w:shd w:val="clear" w:color="auto" w:fill="auto"/>
            <w:noWrap/>
            <w:vAlign w:val="center"/>
          </w:tcPr>
          <w:p w14:paraId="319BC8B4"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55.752</w:t>
            </w:r>
          </w:p>
        </w:tc>
      </w:tr>
      <w:tr w:rsidR="006E5B54" w14:paraId="2F588112" w14:textId="77777777" w:rsidTr="000C7D20">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10B78E05" w14:textId="77777777" w:rsidR="00FA1855" w:rsidRPr="00FA383A" w:rsidRDefault="00162F2E" w:rsidP="00704341">
            <w:pPr>
              <w:spacing w:after="0"/>
              <w:rPr>
                <w:rFonts w:cs="Arial"/>
                <w:bCs/>
                <w:color w:val="auto"/>
                <w:sz w:val="20"/>
                <w:szCs w:val="20"/>
              </w:rPr>
            </w:pPr>
            <w:r w:rsidRPr="00FA383A">
              <w:rPr>
                <w:rFonts w:cs="Arial"/>
                <w:bCs/>
                <w:color w:val="auto"/>
                <w:sz w:val="20"/>
                <w:szCs w:val="20"/>
              </w:rPr>
              <w:t>Secondary</w:t>
            </w:r>
          </w:p>
        </w:tc>
        <w:tc>
          <w:tcPr>
            <w:tcW w:w="2251" w:type="dxa"/>
            <w:tcBorders>
              <w:top w:val="nil"/>
              <w:left w:val="nil"/>
              <w:bottom w:val="single" w:sz="4" w:space="0" w:color="auto"/>
              <w:right w:val="single" w:sz="4" w:space="0" w:color="auto"/>
            </w:tcBorders>
            <w:shd w:val="clear" w:color="auto" w:fill="auto"/>
            <w:noWrap/>
            <w:vAlign w:val="center"/>
            <w:hideMark/>
          </w:tcPr>
          <w:p w14:paraId="6CD020AB"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23.603</w:t>
            </w:r>
          </w:p>
        </w:tc>
        <w:tc>
          <w:tcPr>
            <w:tcW w:w="2250" w:type="dxa"/>
            <w:tcBorders>
              <w:top w:val="nil"/>
              <w:left w:val="nil"/>
              <w:bottom w:val="single" w:sz="4" w:space="0" w:color="auto"/>
              <w:right w:val="single" w:sz="4" w:space="0" w:color="auto"/>
            </w:tcBorders>
            <w:shd w:val="clear" w:color="auto" w:fill="auto"/>
            <w:noWrap/>
            <w:vAlign w:val="center"/>
          </w:tcPr>
          <w:p w14:paraId="07822B92"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5.893</w:t>
            </w:r>
          </w:p>
        </w:tc>
        <w:tc>
          <w:tcPr>
            <w:tcW w:w="2251" w:type="dxa"/>
            <w:tcBorders>
              <w:top w:val="nil"/>
              <w:left w:val="nil"/>
              <w:bottom w:val="single" w:sz="4" w:space="0" w:color="auto"/>
              <w:right w:val="single" w:sz="4" w:space="0" w:color="auto"/>
            </w:tcBorders>
            <w:shd w:val="clear" w:color="auto" w:fill="auto"/>
            <w:noWrap/>
            <w:vAlign w:val="center"/>
          </w:tcPr>
          <w:p w14:paraId="27CE45CD"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29.496</w:t>
            </w:r>
          </w:p>
        </w:tc>
      </w:tr>
      <w:tr w:rsidR="006E5B54" w14:paraId="5C2F55C5" w14:textId="77777777" w:rsidTr="000C7D20">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15C60D5" w14:textId="77777777" w:rsidR="00FA1855" w:rsidRPr="00FA383A" w:rsidRDefault="00162F2E" w:rsidP="00704341">
            <w:pPr>
              <w:spacing w:after="0"/>
              <w:rPr>
                <w:rFonts w:cs="Arial"/>
                <w:bCs/>
                <w:color w:val="auto"/>
                <w:sz w:val="20"/>
                <w:szCs w:val="20"/>
              </w:rPr>
            </w:pPr>
            <w:r w:rsidRPr="00FA383A">
              <w:rPr>
                <w:rFonts w:cs="Arial"/>
                <w:bCs/>
                <w:color w:val="auto"/>
                <w:sz w:val="20"/>
                <w:szCs w:val="20"/>
              </w:rPr>
              <w:t>Special</w:t>
            </w:r>
          </w:p>
        </w:tc>
        <w:tc>
          <w:tcPr>
            <w:tcW w:w="2251" w:type="dxa"/>
            <w:tcBorders>
              <w:top w:val="nil"/>
              <w:left w:val="nil"/>
              <w:bottom w:val="single" w:sz="4" w:space="0" w:color="auto"/>
              <w:right w:val="single" w:sz="4" w:space="0" w:color="auto"/>
            </w:tcBorders>
            <w:shd w:val="clear" w:color="auto" w:fill="auto"/>
            <w:noWrap/>
            <w:vAlign w:val="center"/>
            <w:hideMark/>
          </w:tcPr>
          <w:p w14:paraId="7FFBCEA6"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5.669</w:t>
            </w:r>
          </w:p>
        </w:tc>
        <w:tc>
          <w:tcPr>
            <w:tcW w:w="2250" w:type="dxa"/>
            <w:tcBorders>
              <w:top w:val="nil"/>
              <w:left w:val="nil"/>
              <w:bottom w:val="single" w:sz="4" w:space="0" w:color="auto"/>
              <w:right w:val="single" w:sz="4" w:space="0" w:color="auto"/>
            </w:tcBorders>
            <w:shd w:val="clear" w:color="auto" w:fill="auto"/>
            <w:noWrap/>
            <w:vAlign w:val="center"/>
          </w:tcPr>
          <w:p w14:paraId="7A33BF7F"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1.871</w:t>
            </w:r>
          </w:p>
        </w:tc>
        <w:tc>
          <w:tcPr>
            <w:tcW w:w="2251" w:type="dxa"/>
            <w:tcBorders>
              <w:top w:val="nil"/>
              <w:left w:val="nil"/>
              <w:bottom w:val="single" w:sz="4" w:space="0" w:color="auto"/>
              <w:right w:val="single" w:sz="4" w:space="0" w:color="auto"/>
            </w:tcBorders>
            <w:shd w:val="clear" w:color="auto" w:fill="auto"/>
            <w:noWrap/>
            <w:vAlign w:val="center"/>
          </w:tcPr>
          <w:p w14:paraId="2E465B75"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7.541</w:t>
            </w:r>
          </w:p>
        </w:tc>
      </w:tr>
      <w:tr w:rsidR="006E5B54" w14:paraId="5B546167" w14:textId="77777777" w:rsidTr="000C7D20">
        <w:trPr>
          <w:trHeight w:val="355"/>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1EFA3E3C" w14:textId="77777777" w:rsidR="00FA1855" w:rsidRPr="00FA383A" w:rsidRDefault="00162F2E" w:rsidP="00704341">
            <w:pPr>
              <w:spacing w:after="0"/>
              <w:rPr>
                <w:rFonts w:cs="Arial"/>
                <w:bCs/>
                <w:color w:val="auto"/>
                <w:sz w:val="20"/>
                <w:szCs w:val="20"/>
              </w:rPr>
            </w:pPr>
            <w:r w:rsidRPr="00FA383A">
              <w:rPr>
                <w:rFonts w:cs="Arial"/>
                <w:bCs/>
                <w:color w:val="auto"/>
                <w:sz w:val="20"/>
                <w:szCs w:val="20"/>
              </w:rPr>
              <w:t xml:space="preserve">Short Stay </w:t>
            </w:r>
          </w:p>
        </w:tc>
        <w:tc>
          <w:tcPr>
            <w:tcW w:w="2251" w:type="dxa"/>
            <w:tcBorders>
              <w:top w:val="nil"/>
              <w:left w:val="nil"/>
              <w:bottom w:val="single" w:sz="4" w:space="0" w:color="auto"/>
              <w:right w:val="single" w:sz="4" w:space="0" w:color="auto"/>
            </w:tcBorders>
            <w:shd w:val="clear" w:color="auto" w:fill="auto"/>
            <w:noWrap/>
            <w:vAlign w:val="center"/>
            <w:hideMark/>
          </w:tcPr>
          <w:p w14:paraId="01324B35"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1.705</w:t>
            </w:r>
          </w:p>
        </w:tc>
        <w:tc>
          <w:tcPr>
            <w:tcW w:w="2250" w:type="dxa"/>
            <w:tcBorders>
              <w:top w:val="nil"/>
              <w:left w:val="nil"/>
              <w:bottom w:val="single" w:sz="4" w:space="0" w:color="auto"/>
              <w:right w:val="single" w:sz="4" w:space="0" w:color="auto"/>
            </w:tcBorders>
            <w:shd w:val="clear" w:color="auto" w:fill="auto"/>
            <w:noWrap/>
            <w:vAlign w:val="center"/>
          </w:tcPr>
          <w:p w14:paraId="017BE7B4"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0.022</w:t>
            </w:r>
          </w:p>
        </w:tc>
        <w:tc>
          <w:tcPr>
            <w:tcW w:w="2251" w:type="dxa"/>
            <w:tcBorders>
              <w:top w:val="nil"/>
              <w:left w:val="nil"/>
              <w:bottom w:val="single" w:sz="4" w:space="0" w:color="auto"/>
              <w:right w:val="single" w:sz="4" w:space="0" w:color="auto"/>
            </w:tcBorders>
            <w:shd w:val="clear" w:color="auto" w:fill="auto"/>
            <w:noWrap/>
            <w:vAlign w:val="center"/>
          </w:tcPr>
          <w:p w14:paraId="0974A7C2" w14:textId="77777777" w:rsidR="00FA1855" w:rsidRPr="00FA383A" w:rsidRDefault="00162F2E" w:rsidP="000C7D20">
            <w:pPr>
              <w:spacing w:after="0"/>
              <w:jc w:val="right"/>
              <w:rPr>
                <w:rFonts w:cs="Arial"/>
                <w:bCs/>
                <w:color w:val="auto"/>
                <w:sz w:val="20"/>
                <w:szCs w:val="20"/>
              </w:rPr>
            </w:pPr>
            <w:r w:rsidRPr="00FA383A">
              <w:rPr>
                <w:rFonts w:cs="Arial"/>
                <w:bCs/>
                <w:color w:val="auto"/>
                <w:sz w:val="20"/>
                <w:szCs w:val="20"/>
              </w:rPr>
              <w:t>1.727</w:t>
            </w:r>
          </w:p>
        </w:tc>
      </w:tr>
      <w:tr w:rsidR="006E5B54" w14:paraId="15F8C66E" w14:textId="77777777" w:rsidTr="00E1345A">
        <w:trPr>
          <w:trHeight w:val="355"/>
        </w:trPr>
        <w:tc>
          <w:tcPr>
            <w:tcW w:w="225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4F298627" w14:textId="77777777" w:rsidR="00FA1855" w:rsidRPr="00FA383A" w:rsidRDefault="00162F2E" w:rsidP="00704341">
            <w:pPr>
              <w:spacing w:after="0"/>
              <w:rPr>
                <w:rFonts w:cs="Arial"/>
                <w:b/>
                <w:color w:val="auto"/>
                <w:sz w:val="20"/>
                <w:szCs w:val="20"/>
              </w:rPr>
            </w:pPr>
            <w:r w:rsidRPr="00FA383A">
              <w:rPr>
                <w:rFonts w:cs="Arial"/>
                <w:b/>
                <w:color w:val="auto"/>
                <w:sz w:val="20"/>
                <w:szCs w:val="20"/>
              </w:rPr>
              <w:t>Total</w:t>
            </w:r>
          </w:p>
        </w:tc>
        <w:tc>
          <w:tcPr>
            <w:tcW w:w="2251" w:type="dxa"/>
            <w:tcBorders>
              <w:top w:val="nil"/>
              <w:left w:val="nil"/>
              <w:bottom w:val="single" w:sz="4" w:space="0" w:color="auto"/>
              <w:right w:val="single" w:sz="4" w:space="0" w:color="auto"/>
            </w:tcBorders>
            <w:shd w:val="clear" w:color="auto" w:fill="BFBFBF" w:themeFill="background1" w:themeFillShade="BF"/>
            <w:noWrap/>
            <w:vAlign w:val="center"/>
            <w:hideMark/>
          </w:tcPr>
          <w:p w14:paraId="070C6FD2" w14:textId="77777777" w:rsidR="00FA1855" w:rsidRPr="00FA383A" w:rsidRDefault="00162F2E" w:rsidP="000C7D20">
            <w:pPr>
              <w:spacing w:after="0"/>
              <w:jc w:val="right"/>
              <w:rPr>
                <w:rFonts w:cs="Arial"/>
                <w:b/>
                <w:color w:val="auto"/>
                <w:sz w:val="20"/>
                <w:szCs w:val="20"/>
              </w:rPr>
            </w:pPr>
            <w:r w:rsidRPr="00FA383A">
              <w:rPr>
                <w:rFonts w:cs="Arial"/>
                <w:b/>
                <w:color w:val="auto"/>
                <w:sz w:val="20"/>
                <w:szCs w:val="20"/>
              </w:rPr>
              <w:t>90.151</w:t>
            </w:r>
          </w:p>
        </w:tc>
        <w:tc>
          <w:tcPr>
            <w:tcW w:w="2250" w:type="dxa"/>
            <w:tcBorders>
              <w:top w:val="nil"/>
              <w:left w:val="nil"/>
              <w:bottom w:val="single" w:sz="4" w:space="0" w:color="auto"/>
              <w:right w:val="single" w:sz="4" w:space="0" w:color="auto"/>
            </w:tcBorders>
            <w:shd w:val="clear" w:color="auto" w:fill="BFBFBF" w:themeFill="background1" w:themeFillShade="BF"/>
            <w:noWrap/>
            <w:vAlign w:val="center"/>
          </w:tcPr>
          <w:p w14:paraId="032A831D" w14:textId="77777777" w:rsidR="00FA1855" w:rsidRPr="00FA383A" w:rsidRDefault="00162F2E" w:rsidP="000C7D20">
            <w:pPr>
              <w:spacing w:after="0"/>
              <w:jc w:val="right"/>
              <w:rPr>
                <w:rFonts w:cs="Arial"/>
                <w:b/>
                <w:color w:val="auto"/>
                <w:sz w:val="20"/>
                <w:szCs w:val="20"/>
              </w:rPr>
            </w:pPr>
            <w:r w:rsidRPr="00FA383A">
              <w:rPr>
                <w:rFonts w:cs="Arial"/>
                <w:b/>
                <w:color w:val="auto"/>
                <w:sz w:val="20"/>
                <w:szCs w:val="20"/>
              </w:rPr>
              <w:t>5.173</w:t>
            </w:r>
          </w:p>
        </w:tc>
        <w:tc>
          <w:tcPr>
            <w:tcW w:w="2251" w:type="dxa"/>
            <w:tcBorders>
              <w:top w:val="nil"/>
              <w:left w:val="nil"/>
              <w:bottom w:val="single" w:sz="4" w:space="0" w:color="auto"/>
              <w:right w:val="single" w:sz="4" w:space="0" w:color="auto"/>
            </w:tcBorders>
            <w:shd w:val="clear" w:color="auto" w:fill="BFBFBF" w:themeFill="background1" w:themeFillShade="BF"/>
            <w:noWrap/>
            <w:vAlign w:val="center"/>
          </w:tcPr>
          <w:p w14:paraId="10F4AF61" w14:textId="77777777" w:rsidR="00FA1855" w:rsidRPr="00FA383A" w:rsidRDefault="00162F2E" w:rsidP="000C7D20">
            <w:pPr>
              <w:spacing w:after="0"/>
              <w:jc w:val="right"/>
              <w:rPr>
                <w:rFonts w:cs="Arial"/>
                <w:b/>
                <w:color w:val="auto"/>
                <w:sz w:val="20"/>
                <w:szCs w:val="20"/>
              </w:rPr>
            </w:pPr>
            <w:r w:rsidRPr="00FA383A">
              <w:rPr>
                <w:rFonts w:cs="Arial"/>
                <w:b/>
                <w:color w:val="auto"/>
                <w:sz w:val="20"/>
                <w:szCs w:val="20"/>
              </w:rPr>
              <w:t>95.313</w:t>
            </w:r>
          </w:p>
        </w:tc>
      </w:tr>
    </w:tbl>
    <w:p w14:paraId="03E11832" w14:textId="77777777" w:rsidR="00FA1855" w:rsidRDefault="00FA1855" w:rsidP="00FA1855">
      <w:pPr>
        <w:spacing w:after="0"/>
        <w:rPr>
          <w:rFonts w:cs="Arial"/>
          <w:color w:val="auto"/>
        </w:rPr>
      </w:pPr>
    </w:p>
    <w:p w14:paraId="6D69EC69" w14:textId="77777777" w:rsidR="00FA1855" w:rsidRDefault="00162F2E" w:rsidP="00FA1855">
      <w:pPr>
        <w:spacing w:after="0"/>
        <w:rPr>
          <w:rFonts w:cs="Arial"/>
          <w:color w:val="auto"/>
        </w:rPr>
      </w:pPr>
      <w:r>
        <w:rPr>
          <w:rFonts w:cs="Arial"/>
          <w:color w:val="auto"/>
        </w:rPr>
        <w:t xml:space="preserve">Schools continued to face exceptional challenges in the </w:t>
      </w:r>
      <w:r w:rsidRPr="004274AD">
        <w:rPr>
          <w:rFonts w:cs="Arial"/>
          <w:color w:val="auto"/>
        </w:rPr>
        <w:t xml:space="preserve">2021/22 financial year </w:t>
      </w:r>
      <w:r>
        <w:rPr>
          <w:rFonts w:cs="Arial"/>
          <w:color w:val="auto"/>
        </w:rPr>
        <w:t>related to the</w:t>
      </w:r>
      <w:r w:rsidRPr="004274AD">
        <w:rPr>
          <w:rFonts w:cs="Arial"/>
          <w:color w:val="auto"/>
        </w:rPr>
        <w:t xml:space="preserve"> covid pandemic</w:t>
      </w:r>
      <w:r>
        <w:rPr>
          <w:rFonts w:cs="Arial"/>
          <w:color w:val="auto"/>
        </w:rPr>
        <w:t xml:space="preserve"> and the associated educational recovery</w:t>
      </w:r>
      <w:r w:rsidRPr="004274AD">
        <w:rPr>
          <w:rFonts w:cs="Arial"/>
          <w:color w:val="auto"/>
        </w:rPr>
        <w:t xml:space="preserve">. </w:t>
      </w:r>
    </w:p>
    <w:p w14:paraId="139F6578" w14:textId="77777777" w:rsidR="00FA1855" w:rsidRDefault="00FA1855" w:rsidP="00FA1855">
      <w:pPr>
        <w:spacing w:after="0"/>
        <w:rPr>
          <w:rFonts w:cs="Arial"/>
          <w:color w:val="auto"/>
        </w:rPr>
      </w:pPr>
    </w:p>
    <w:p w14:paraId="650460AB" w14:textId="77777777" w:rsidR="00FA1855" w:rsidRDefault="00162F2E" w:rsidP="00FA1855">
      <w:pPr>
        <w:spacing w:after="0"/>
        <w:rPr>
          <w:color w:val="auto"/>
        </w:rPr>
      </w:pPr>
      <w:r w:rsidRPr="004274AD">
        <w:rPr>
          <w:rFonts w:cs="Arial"/>
          <w:color w:val="auto"/>
        </w:rPr>
        <w:t xml:space="preserve">Increased levels of core funding were provided by the Government in 2021/22, with Lancashire's </w:t>
      </w:r>
      <w:r w:rsidRPr="004274AD">
        <w:rPr>
          <w:color w:val="auto"/>
        </w:rPr>
        <w:t xml:space="preserve">gross Dedicated Schools Grant (DSG) allocation some </w:t>
      </w:r>
      <w:r w:rsidRPr="003D1CDA">
        <w:rPr>
          <w:color w:val="auto"/>
        </w:rPr>
        <w:t xml:space="preserve">£86m </w:t>
      </w:r>
      <w:r w:rsidRPr="004274AD">
        <w:rPr>
          <w:color w:val="auto"/>
        </w:rPr>
        <w:t xml:space="preserve">higher than that received in </w:t>
      </w:r>
      <w:r>
        <w:rPr>
          <w:color w:val="auto"/>
        </w:rPr>
        <w:t>2020/21</w:t>
      </w:r>
      <w:r w:rsidRPr="003D1CDA">
        <w:rPr>
          <w:color w:val="auto"/>
        </w:rPr>
        <w:t xml:space="preserve">.  </w:t>
      </w:r>
      <w:r>
        <w:rPr>
          <w:color w:val="auto"/>
        </w:rPr>
        <w:t xml:space="preserve">This was partly due to </w:t>
      </w:r>
      <w:r>
        <w:t xml:space="preserve">increased funding nationally made available by Government, and the incorporation of funding for the </w:t>
      </w:r>
      <w:r w:rsidR="00D457D1">
        <w:t>teachers'</w:t>
      </w:r>
      <w:r>
        <w:t xml:space="preserve"> pay and pensions grants into core school funding that were previously paid as separate grants.  There was also an increase in the overall numbers of pupils in Lancashire compared to 2020/21, which contributed to the increased level of funding received. </w:t>
      </w:r>
    </w:p>
    <w:p w14:paraId="73FD632C" w14:textId="77777777" w:rsidR="00FA1855" w:rsidRPr="00132420" w:rsidRDefault="00FA1855" w:rsidP="00FA1855">
      <w:pPr>
        <w:spacing w:after="0"/>
      </w:pPr>
    </w:p>
    <w:p w14:paraId="5AD29421" w14:textId="77777777" w:rsidR="00FA1855" w:rsidRDefault="00162F2E" w:rsidP="00FA1855">
      <w:pPr>
        <w:spacing w:after="0"/>
      </w:pPr>
      <w:r w:rsidRPr="00132420">
        <w:t xml:space="preserve">In addition to the core Dedicated Schools Grant (DSG) funding allocations to schools, considerable additional funding was allocated during 2021/22 in the form of Government grants.  For Lancashire maintained schools, grant allocations in the year totalled over £36m.  </w:t>
      </w:r>
    </w:p>
    <w:p w14:paraId="5B89ADA6" w14:textId="77777777" w:rsidR="00FA1855" w:rsidRDefault="00FA1855" w:rsidP="00FA1855">
      <w:pPr>
        <w:spacing w:after="0"/>
      </w:pPr>
    </w:p>
    <w:p w14:paraId="4BD79637" w14:textId="77777777" w:rsidR="00FA1855" w:rsidRPr="00B61F72" w:rsidRDefault="00162F2E" w:rsidP="00FA1855">
      <w:pPr>
        <w:spacing w:after="0"/>
      </w:pPr>
      <w:r>
        <w:t>A number</w:t>
      </w:r>
      <w:r w:rsidRPr="00132420">
        <w:t xml:space="preserve"> of these grants were specifically to assist schools continue to respond to the challenges of supporting pupils catch up on learning.  Some of these grants were allocated by the DfE on an academic year basis and will need to be spent by the end of the current school year, which may have had some impact on the level of balances held </w:t>
      </w:r>
      <w:bookmarkStart w:id="4" w:name="_Int_SvcoyEpY"/>
      <w:r w:rsidRPr="00132420">
        <w:t>at</w:t>
      </w:r>
      <w:bookmarkEnd w:id="4"/>
      <w:r w:rsidRPr="00132420">
        <w:t xml:space="preserve"> 31 March</w:t>
      </w:r>
      <w:r>
        <w:t xml:space="preserve"> </w:t>
      </w:r>
      <w:r w:rsidRPr="00132420">
        <w:t>2022.</w:t>
      </w:r>
    </w:p>
    <w:p w14:paraId="28AA9ED0" w14:textId="77777777" w:rsidR="00FA1855" w:rsidRDefault="00FA1855" w:rsidP="00FA1855">
      <w:pPr>
        <w:spacing w:after="0"/>
        <w:rPr>
          <w:color w:val="auto"/>
        </w:rPr>
      </w:pPr>
    </w:p>
    <w:p w14:paraId="349B5B71" w14:textId="77777777" w:rsidR="00FA1855" w:rsidRPr="004274AD" w:rsidRDefault="00162F2E" w:rsidP="00FA1855">
      <w:pPr>
        <w:spacing w:after="0"/>
        <w:rPr>
          <w:rFonts w:cs="Arial"/>
          <w:b/>
          <w:color w:val="auto"/>
        </w:rPr>
      </w:pPr>
      <w:r w:rsidRPr="004274AD">
        <w:rPr>
          <w:rFonts w:cs="Arial"/>
          <w:b/>
          <w:color w:val="auto"/>
        </w:rPr>
        <w:t>2021/22 School Balances –In-Year Movement Count of Schools by Phase</w:t>
      </w:r>
    </w:p>
    <w:p w14:paraId="470FDBA3" w14:textId="77777777" w:rsidR="00FA1855" w:rsidRPr="004274AD" w:rsidRDefault="00FA1855" w:rsidP="00FA1855">
      <w:pPr>
        <w:spacing w:after="0"/>
        <w:rPr>
          <w:rFonts w:cs="Arial"/>
          <w:color w:val="auto"/>
        </w:rPr>
      </w:pPr>
    </w:p>
    <w:tbl>
      <w:tblPr>
        <w:tblW w:w="9062" w:type="dxa"/>
        <w:tblInd w:w="5" w:type="dxa"/>
        <w:tblLayout w:type="fixed"/>
        <w:tblLook w:val="04A0" w:firstRow="1" w:lastRow="0" w:firstColumn="1" w:lastColumn="0" w:noHBand="0" w:noVBand="1"/>
      </w:tblPr>
      <w:tblGrid>
        <w:gridCol w:w="2542"/>
        <w:gridCol w:w="3260"/>
        <w:gridCol w:w="3260"/>
      </w:tblGrid>
      <w:tr w:rsidR="006E5B54" w14:paraId="1E0A5C4A" w14:textId="77777777" w:rsidTr="00E1345A">
        <w:trPr>
          <w:trHeight w:val="340"/>
        </w:trPr>
        <w:tc>
          <w:tcPr>
            <w:tcW w:w="2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669D109" w14:textId="77777777" w:rsidR="00FA1855" w:rsidRPr="00FA383A" w:rsidRDefault="00162F2E" w:rsidP="00704341">
            <w:pPr>
              <w:spacing w:after="0"/>
              <w:rPr>
                <w:rFonts w:cs="Arial"/>
                <w:b/>
                <w:bCs/>
                <w:color w:val="auto"/>
                <w:sz w:val="20"/>
                <w:szCs w:val="20"/>
              </w:rPr>
            </w:pPr>
            <w:r w:rsidRPr="00FA383A">
              <w:rPr>
                <w:rFonts w:cs="Arial"/>
                <w:b/>
                <w:bCs/>
                <w:color w:val="auto"/>
                <w:sz w:val="20"/>
                <w:szCs w:val="20"/>
              </w:rPr>
              <w:t>Phase</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485116C" w14:textId="77777777" w:rsidR="00FA1855" w:rsidRPr="00FA383A" w:rsidRDefault="00162F2E" w:rsidP="00E1345A">
            <w:pPr>
              <w:spacing w:after="0"/>
              <w:jc w:val="center"/>
              <w:rPr>
                <w:rFonts w:cs="Arial"/>
                <w:b/>
                <w:color w:val="auto"/>
                <w:sz w:val="20"/>
                <w:szCs w:val="20"/>
              </w:rPr>
            </w:pPr>
            <w:r w:rsidRPr="00FA383A">
              <w:rPr>
                <w:rFonts w:cs="Arial"/>
                <w:b/>
                <w:color w:val="auto"/>
                <w:sz w:val="20"/>
                <w:szCs w:val="20"/>
              </w:rPr>
              <w:t>Count of deficit in year</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FFA3D31" w14:textId="77777777" w:rsidR="00FA1855" w:rsidRPr="00FA383A" w:rsidRDefault="00162F2E" w:rsidP="00E1345A">
            <w:pPr>
              <w:spacing w:after="0"/>
              <w:jc w:val="center"/>
              <w:rPr>
                <w:rFonts w:cs="Arial"/>
                <w:b/>
                <w:color w:val="auto"/>
                <w:sz w:val="20"/>
                <w:szCs w:val="20"/>
              </w:rPr>
            </w:pPr>
            <w:r w:rsidRPr="00FA383A">
              <w:rPr>
                <w:rFonts w:cs="Arial"/>
                <w:b/>
                <w:color w:val="auto"/>
                <w:sz w:val="20"/>
                <w:szCs w:val="20"/>
              </w:rPr>
              <w:t>Count of surplus in year</w:t>
            </w:r>
          </w:p>
        </w:tc>
      </w:tr>
      <w:tr w:rsidR="006E5B54" w14:paraId="6992CCB4" w14:textId="77777777" w:rsidTr="00704341">
        <w:trPr>
          <w:trHeight w:val="34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35468" w14:textId="77777777" w:rsidR="00FA1855" w:rsidRPr="00FA383A" w:rsidRDefault="00162F2E" w:rsidP="00704341">
            <w:pPr>
              <w:spacing w:after="0"/>
              <w:rPr>
                <w:rFonts w:cs="Arial"/>
                <w:color w:val="auto"/>
                <w:sz w:val="20"/>
                <w:szCs w:val="20"/>
              </w:rPr>
            </w:pPr>
            <w:r w:rsidRPr="00FA383A">
              <w:rPr>
                <w:rFonts w:cs="Arial"/>
                <w:color w:val="auto"/>
                <w:sz w:val="20"/>
                <w:szCs w:val="20"/>
              </w:rPr>
              <w:t>Nursery</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5F49E53C" w14:textId="77777777" w:rsidR="00FA1855" w:rsidRPr="00FA383A" w:rsidRDefault="00162F2E" w:rsidP="00704341">
            <w:pPr>
              <w:spacing w:after="0"/>
              <w:jc w:val="center"/>
              <w:rPr>
                <w:rFonts w:cs="Arial"/>
                <w:color w:val="auto"/>
                <w:sz w:val="20"/>
                <w:szCs w:val="20"/>
              </w:rPr>
            </w:pPr>
            <w:r w:rsidRPr="00FA383A">
              <w:rPr>
                <w:rFonts w:cs="Arial"/>
                <w:color w:val="auto"/>
                <w:sz w:val="20"/>
                <w:szCs w:val="20"/>
              </w:rPr>
              <w:t>12</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30EC0544" w14:textId="77777777" w:rsidR="00FA1855" w:rsidRPr="00FA383A" w:rsidRDefault="00162F2E" w:rsidP="00704341">
            <w:pPr>
              <w:spacing w:after="0"/>
              <w:jc w:val="center"/>
              <w:rPr>
                <w:rFonts w:cs="Arial"/>
                <w:color w:val="auto"/>
                <w:sz w:val="20"/>
                <w:szCs w:val="20"/>
              </w:rPr>
            </w:pPr>
            <w:r w:rsidRPr="00FA383A">
              <w:rPr>
                <w:rFonts w:cs="Arial"/>
                <w:color w:val="auto"/>
                <w:sz w:val="20"/>
                <w:szCs w:val="20"/>
              </w:rPr>
              <w:t>12</w:t>
            </w:r>
          </w:p>
        </w:tc>
      </w:tr>
      <w:tr w:rsidR="006E5B54" w14:paraId="0607E51F" w14:textId="77777777" w:rsidTr="00704341">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3FC40EC6" w14:textId="77777777" w:rsidR="00FA1855" w:rsidRPr="00FA383A" w:rsidRDefault="00162F2E" w:rsidP="00704341">
            <w:pPr>
              <w:spacing w:after="0"/>
              <w:rPr>
                <w:rFonts w:cs="Arial"/>
                <w:color w:val="auto"/>
                <w:sz w:val="20"/>
                <w:szCs w:val="20"/>
              </w:rPr>
            </w:pPr>
            <w:r w:rsidRPr="00FA383A">
              <w:rPr>
                <w:rFonts w:cs="Arial"/>
                <w:color w:val="auto"/>
                <w:sz w:val="20"/>
                <w:szCs w:val="20"/>
              </w:rPr>
              <w:t>Primary</w:t>
            </w:r>
          </w:p>
        </w:tc>
        <w:tc>
          <w:tcPr>
            <w:tcW w:w="3260" w:type="dxa"/>
            <w:tcBorders>
              <w:top w:val="nil"/>
              <w:left w:val="nil"/>
              <w:bottom w:val="single" w:sz="4" w:space="0" w:color="auto"/>
              <w:right w:val="single" w:sz="4" w:space="0" w:color="auto"/>
            </w:tcBorders>
            <w:shd w:val="clear" w:color="auto" w:fill="auto"/>
            <w:noWrap/>
            <w:vAlign w:val="bottom"/>
          </w:tcPr>
          <w:p w14:paraId="5F77A5A8" w14:textId="77777777" w:rsidR="00FA1855" w:rsidRPr="00FA383A" w:rsidRDefault="00162F2E" w:rsidP="00704341">
            <w:pPr>
              <w:spacing w:after="0"/>
              <w:jc w:val="center"/>
              <w:rPr>
                <w:rFonts w:cs="Arial"/>
                <w:color w:val="auto"/>
                <w:sz w:val="20"/>
                <w:szCs w:val="20"/>
              </w:rPr>
            </w:pPr>
            <w:r w:rsidRPr="00FA383A">
              <w:rPr>
                <w:rFonts w:cs="Arial"/>
                <w:color w:val="auto"/>
                <w:sz w:val="20"/>
                <w:szCs w:val="20"/>
              </w:rPr>
              <w:t>268</w:t>
            </w:r>
          </w:p>
        </w:tc>
        <w:tc>
          <w:tcPr>
            <w:tcW w:w="3260" w:type="dxa"/>
            <w:tcBorders>
              <w:top w:val="nil"/>
              <w:left w:val="nil"/>
              <w:bottom w:val="single" w:sz="4" w:space="0" w:color="auto"/>
              <w:right w:val="single" w:sz="4" w:space="0" w:color="auto"/>
            </w:tcBorders>
            <w:shd w:val="clear" w:color="auto" w:fill="auto"/>
            <w:noWrap/>
            <w:vAlign w:val="bottom"/>
          </w:tcPr>
          <w:p w14:paraId="0C1B152C" w14:textId="77777777" w:rsidR="00FA1855" w:rsidRPr="00FA383A" w:rsidRDefault="00162F2E" w:rsidP="00704341">
            <w:pPr>
              <w:spacing w:after="0"/>
              <w:jc w:val="center"/>
              <w:rPr>
                <w:rFonts w:cs="Arial"/>
                <w:color w:val="auto"/>
                <w:sz w:val="20"/>
                <w:szCs w:val="20"/>
              </w:rPr>
            </w:pPr>
            <w:r w:rsidRPr="00FA383A">
              <w:rPr>
                <w:rFonts w:cs="Arial"/>
                <w:color w:val="auto"/>
                <w:sz w:val="20"/>
                <w:szCs w:val="20"/>
              </w:rPr>
              <w:t>193</w:t>
            </w:r>
          </w:p>
        </w:tc>
      </w:tr>
      <w:tr w:rsidR="006E5B54" w14:paraId="0D2042D2" w14:textId="77777777" w:rsidTr="00704341">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77ED8936" w14:textId="77777777" w:rsidR="00FA1855" w:rsidRPr="00FA383A" w:rsidRDefault="00162F2E" w:rsidP="00704341">
            <w:pPr>
              <w:spacing w:after="0"/>
              <w:rPr>
                <w:rFonts w:cs="Arial"/>
                <w:color w:val="auto"/>
                <w:sz w:val="20"/>
                <w:szCs w:val="20"/>
              </w:rPr>
            </w:pPr>
            <w:r w:rsidRPr="00FA383A">
              <w:rPr>
                <w:rFonts w:cs="Arial"/>
                <w:color w:val="auto"/>
                <w:sz w:val="20"/>
                <w:szCs w:val="20"/>
              </w:rPr>
              <w:lastRenderedPageBreak/>
              <w:t>Secondary</w:t>
            </w:r>
          </w:p>
        </w:tc>
        <w:tc>
          <w:tcPr>
            <w:tcW w:w="3260" w:type="dxa"/>
            <w:tcBorders>
              <w:top w:val="nil"/>
              <w:left w:val="nil"/>
              <w:bottom w:val="single" w:sz="4" w:space="0" w:color="auto"/>
              <w:right w:val="single" w:sz="4" w:space="0" w:color="auto"/>
            </w:tcBorders>
            <w:shd w:val="clear" w:color="auto" w:fill="auto"/>
            <w:noWrap/>
            <w:vAlign w:val="bottom"/>
          </w:tcPr>
          <w:p w14:paraId="6EB5CA3C" w14:textId="77777777" w:rsidR="00FA1855" w:rsidRPr="00FA383A" w:rsidRDefault="00162F2E" w:rsidP="00704341">
            <w:pPr>
              <w:spacing w:after="0"/>
              <w:jc w:val="center"/>
              <w:rPr>
                <w:rFonts w:cs="Arial"/>
                <w:color w:val="auto"/>
                <w:sz w:val="20"/>
                <w:szCs w:val="20"/>
              </w:rPr>
            </w:pPr>
            <w:r w:rsidRPr="00FA383A">
              <w:rPr>
                <w:rFonts w:cs="Arial"/>
                <w:color w:val="auto"/>
                <w:sz w:val="20"/>
                <w:szCs w:val="20"/>
              </w:rPr>
              <w:t>9</w:t>
            </w:r>
          </w:p>
        </w:tc>
        <w:tc>
          <w:tcPr>
            <w:tcW w:w="3260" w:type="dxa"/>
            <w:tcBorders>
              <w:top w:val="nil"/>
              <w:left w:val="nil"/>
              <w:bottom w:val="single" w:sz="4" w:space="0" w:color="auto"/>
              <w:right w:val="single" w:sz="4" w:space="0" w:color="auto"/>
            </w:tcBorders>
            <w:shd w:val="clear" w:color="auto" w:fill="auto"/>
            <w:noWrap/>
            <w:vAlign w:val="bottom"/>
          </w:tcPr>
          <w:p w14:paraId="4F1C561C" w14:textId="77777777" w:rsidR="00FA1855" w:rsidRPr="00FA383A" w:rsidRDefault="00162F2E" w:rsidP="00704341">
            <w:pPr>
              <w:spacing w:after="0"/>
              <w:jc w:val="center"/>
              <w:rPr>
                <w:rFonts w:cs="Arial"/>
                <w:color w:val="auto"/>
                <w:sz w:val="20"/>
                <w:szCs w:val="20"/>
              </w:rPr>
            </w:pPr>
            <w:r w:rsidRPr="00FA383A">
              <w:rPr>
                <w:rFonts w:cs="Arial"/>
                <w:color w:val="auto"/>
                <w:sz w:val="20"/>
                <w:szCs w:val="20"/>
              </w:rPr>
              <w:t>37</w:t>
            </w:r>
          </w:p>
        </w:tc>
      </w:tr>
      <w:tr w:rsidR="006E5B54" w14:paraId="63072CB9" w14:textId="77777777" w:rsidTr="00704341">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29B0332E" w14:textId="77777777" w:rsidR="00FA1855" w:rsidRPr="00FA383A" w:rsidRDefault="00162F2E" w:rsidP="00704341">
            <w:pPr>
              <w:spacing w:after="0"/>
              <w:rPr>
                <w:rFonts w:cs="Arial"/>
                <w:color w:val="auto"/>
                <w:sz w:val="20"/>
                <w:szCs w:val="20"/>
              </w:rPr>
            </w:pPr>
            <w:r w:rsidRPr="00FA383A">
              <w:rPr>
                <w:rFonts w:cs="Arial"/>
                <w:color w:val="auto"/>
                <w:sz w:val="20"/>
                <w:szCs w:val="20"/>
              </w:rPr>
              <w:t>Special</w:t>
            </w:r>
          </w:p>
        </w:tc>
        <w:tc>
          <w:tcPr>
            <w:tcW w:w="3260" w:type="dxa"/>
            <w:tcBorders>
              <w:top w:val="nil"/>
              <w:left w:val="nil"/>
              <w:bottom w:val="single" w:sz="4" w:space="0" w:color="auto"/>
              <w:right w:val="single" w:sz="4" w:space="0" w:color="auto"/>
            </w:tcBorders>
            <w:shd w:val="clear" w:color="auto" w:fill="auto"/>
            <w:noWrap/>
            <w:vAlign w:val="bottom"/>
          </w:tcPr>
          <w:p w14:paraId="67A82AB9" w14:textId="77777777" w:rsidR="00FA1855" w:rsidRPr="00FA383A" w:rsidRDefault="00162F2E" w:rsidP="00704341">
            <w:pPr>
              <w:spacing w:after="0"/>
              <w:jc w:val="center"/>
              <w:rPr>
                <w:rFonts w:cs="Arial"/>
                <w:color w:val="auto"/>
                <w:sz w:val="20"/>
                <w:szCs w:val="20"/>
              </w:rPr>
            </w:pPr>
            <w:r w:rsidRPr="00FA383A">
              <w:rPr>
                <w:rFonts w:cs="Arial"/>
                <w:color w:val="auto"/>
                <w:sz w:val="20"/>
                <w:szCs w:val="20"/>
              </w:rPr>
              <w:t>5</w:t>
            </w:r>
          </w:p>
        </w:tc>
        <w:tc>
          <w:tcPr>
            <w:tcW w:w="3260" w:type="dxa"/>
            <w:tcBorders>
              <w:top w:val="nil"/>
              <w:left w:val="nil"/>
              <w:bottom w:val="single" w:sz="4" w:space="0" w:color="auto"/>
              <w:right w:val="single" w:sz="4" w:space="0" w:color="auto"/>
            </w:tcBorders>
            <w:shd w:val="clear" w:color="auto" w:fill="auto"/>
            <w:noWrap/>
            <w:vAlign w:val="bottom"/>
          </w:tcPr>
          <w:p w14:paraId="397BF232" w14:textId="77777777" w:rsidR="00FA1855" w:rsidRPr="00FA383A" w:rsidRDefault="00162F2E" w:rsidP="00704341">
            <w:pPr>
              <w:spacing w:after="0"/>
              <w:jc w:val="center"/>
              <w:rPr>
                <w:rFonts w:cs="Arial"/>
                <w:color w:val="auto"/>
                <w:sz w:val="20"/>
                <w:szCs w:val="20"/>
              </w:rPr>
            </w:pPr>
            <w:r w:rsidRPr="00FA383A">
              <w:rPr>
                <w:rFonts w:cs="Arial"/>
                <w:color w:val="auto"/>
                <w:sz w:val="20"/>
                <w:szCs w:val="20"/>
              </w:rPr>
              <w:t>24</w:t>
            </w:r>
          </w:p>
        </w:tc>
      </w:tr>
      <w:tr w:rsidR="006E5B54" w14:paraId="6300ABB8" w14:textId="77777777" w:rsidTr="00704341">
        <w:trPr>
          <w:trHeight w:val="340"/>
        </w:trPr>
        <w:tc>
          <w:tcPr>
            <w:tcW w:w="2542" w:type="dxa"/>
            <w:tcBorders>
              <w:top w:val="nil"/>
              <w:left w:val="single" w:sz="4" w:space="0" w:color="auto"/>
              <w:bottom w:val="single" w:sz="4" w:space="0" w:color="auto"/>
              <w:right w:val="single" w:sz="4" w:space="0" w:color="auto"/>
            </w:tcBorders>
            <w:shd w:val="clear" w:color="auto" w:fill="auto"/>
            <w:noWrap/>
            <w:vAlign w:val="center"/>
            <w:hideMark/>
          </w:tcPr>
          <w:p w14:paraId="254B96C4" w14:textId="77777777" w:rsidR="00FA1855" w:rsidRPr="00FA383A" w:rsidRDefault="00162F2E" w:rsidP="00704341">
            <w:pPr>
              <w:spacing w:after="0"/>
              <w:rPr>
                <w:rFonts w:cs="Arial"/>
                <w:color w:val="auto"/>
                <w:sz w:val="20"/>
                <w:szCs w:val="20"/>
              </w:rPr>
            </w:pPr>
            <w:r w:rsidRPr="00FA383A">
              <w:rPr>
                <w:rFonts w:cs="Arial"/>
                <w:color w:val="auto"/>
                <w:sz w:val="20"/>
                <w:szCs w:val="20"/>
              </w:rPr>
              <w:t xml:space="preserve">Short Stay </w:t>
            </w:r>
          </w:p>
        </w:tc>
        <w:tc>
          <w:tcPr>
            <w:tcW w:w="3260" w:type="dxa"/>
            <w:tcBorders>
              <w:top w:val="nil"/>
              <w:left w:val="nil"/>
              <w:bottom w:val="single" w:sz="4" w:space="0" w:color="auto"/>
              <w:right w:val="single" w:sz="4" w:space="0" w:color="auto"/>
            </w:tcBorders>
            <w:shd w:val="clear" w:color="auto" w:fill="auto"/>
            <w:noWrap/>
            <w:vAlign w:val="bottom"/>
          </w:tcPr>
          <w:p w14:paraId="5FE3A3B6" w14:textId="77777777" w:rsidR="00FA1855" w:rsidRPr="00FA383A" w:rsidRDefault="00162F2E" w:rsidP="00704341">
            <w:pPr>
              <w:spacing w:after="0"/>
              <w:jc w:val="center"/>
              <w:rPr>
                <w:rFonts w:cs="Arial"/>
                <w:color w:val="auto"/>
                <w:sz w:val="20"/>
                <w:szCs w:val="20"/>
              </w:rPr>
            </w:pPr>
            <w:r w:rsidRPr="00FA383A">
              <w:rPr>
                <w:rFonts w:cs="Arial"/>
                <w:color w:val="auto"/>
                <w:sz w:val="20"/>
                <w:szCs w:val="20"/>
              </w:rPr>
              <w:t>4</w:t>
            </w:r>
          </w:p>
        </w:tc>
        <w:tc>
          <w:tcPr>
            <w:tcW w:w="3260" w:type="dxa"/>
            <w:tcBorders>
              <w:top w:val="nil"/>
              <w:left w:val="nil"/>
              <w:bottom w:val="single" w:sz="4" w:space="0" w:color="auto"/>
              <w:right w:val="single" w:sz="4" w:space="0" w:color="auto"/>
            </w:tcBorders>
            <w:shd w:val="clear" w:color="auto" w:fill="auto"/>
            <w:noWrap/>
            <w:vAlign w:val="bottom"/>
          </w:tcPr>
          <w:p w14:paraId="3B0C5409" w14:textId="77777777" w:rsidR="00FA1855" w:rsidRPr="00FA383A" w:rsidRDefault="00162F2E" w:rsidP="00704341">
            <w:pPr>
              <w:spacing w:after="0"/>
              <w:jc w:val="center"/>
              <w:rPr>
                <w:rFonts w:cs="Arial"/>
                <w:color w:val="auto"/>
                <w:sz w:val="20"/>
                <w:szCs w:val="20"/>
              </w:rPr>
            </w:pPr>
            <w:r w:rsidRPr="00FA383A">
              <w:rPr>
                <w:rFonts w:cs="Arial"/>
                <w:color w:val="auto"/>
                <w:sz w:val="20"/>
                <w:szCs w:val="20"/>
              </w:rPr>
              <w:t>4</w:t>
            </w:r>
          </w:p>
        </w:tc>
      </w:tr>
      <w:tr w:rsidR="006E5B54" w14:paraId="5F963078" w14:textId="77777777" w:rsidTr="00E1345A">
        <w:trPr>
          <w:trHeight w:val="340"/>
        </w:trPr>
        <w:tc>
          <w:tcPr>
            <w:tcW w:w="254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BC89281" w14:textId="77777777" w:rsidR="00FA1855" w:rsidRPr="00FA383A" w:rsidRDefault="00162F2E" w:rsidP="00E1345A">
            <w:pPr>
              <w:spacing w:after="0"/>
              <w:jc w:val="left"/>
              <w:rPr>
                <w:rFonts w:cs="Arial"/>
                <w:b/>
                <w:bCs/>
                <w:color w:val="auto"/>
                <w:sz w:val="20"/>
                <w:szCs w:val="20"/>
              </w:rPr>
            </w:pPr>
            <w:r w:rsidRPr="00FA383A">
              <w:rPr>
                <w:rFonts w:cs="Arial"/>
                <w:b/>
                <w:bCs/>
                <w:color w:val="auto"/>
                <w:sz w:val="20"/>
                <w:szCs w:val="20"/>
              </w:rPr>
              <w:t>Total</w:t>
            </w:r>
          </w:p>
        </w:tc>
        <w:tc>
          <w:tcPr>
            <w:tcW w:w="3260" w:type="dxa"/>
            <w:tcBorders>
              <w:top w:val="nil"/>
              <w:left w:val="nil"/>
              <w:bottom w:val="single" w:sz="4" w:space="0" w:color="auto"/>
              <w:right w:val="single" w:sz="4" w:space="0" w:color="auto"/>
            </w:tcBorders>
            <w:shd w:val="clear" w:color="auto" w:fill="BFBFBF" w:themeFill="background1" w:themeFillShade="BF"/>
            <w:noWrap/>
            <w:vAlign w:val="center"/>
          </w:tcPr>
          <w:p w14:paraId="48A91E7A" w14:textId="77777777" w:rsidR="00FA1855" w:rsidRPr="00FA383A" w:rsidRDefault="00162F2E" w:rsidP="00E1345A">
            <w:pPr>
              <w:spacing w:after="0"/>
              <w:jc w:val="center"/>
              <w:rPr>
                <w:rFonts w:cs="Arial"/>
                <w:b/>
                <w:color w:val="auto"/>
                <w:sz w:val="20"/>
                <w:szCs w:val="20"/>
              </w:rPr>
            </w:pPr>
            <w:r w:rsidRPr="00FA383A">
              <w:rPr>
                <w:rFonts w:cs="Arial"/>
                <w:b/>
                <w:color w:val="auto"/>
                <w:sz w:val="20"/>
                <w:szCs w:val="20"/>
              </w:rPr>
              <w:t>298</w:t>
            </w:r>
          </w:p>
        </w:tc>
        <w:tc>
          <w:tcPr>
            <w:tcW w:w="3260" w:type="dxa"/>
            <w:tcBorders>
              <w:top w:val="nil"/>
              <w:left w:val="nil"/>
              <w:bottom w:val="single" w:sz="4" w:space="0" w:color="auto"/>
              <w:right w:val="single" w:sz="4" w:space="0" w:color="auto"/>
            </w:tcBorders>
            <w:shd w:val="clear" w:color="auto" w:fill="BFBFBF" w:themeFill="background1" w:themeFillShade="BF"/>
            <w:noWrap/>
            <w:vAlign w:val="center"/>
          </w:tcPr>
          <w:p w14:paraId="1B031054" w14:textId="77777777" w:rsidR="00FA1855" w:rsidRPr="00FA383A" w:rsidRDefault="00162F2E" w:rsidP="00E1345A">
            <w:pPr>
              <w:spacing w:after="0"/>
              <w:jc w:val="center"/>
              <w:rPr>
                <w:rFonts w:cs="Arial"/>
                <w:b/>
                <w:color w:val="auto"/>
                <w:sz w:val="20"/>
                <w:szCs w:val="20"/>
              </w:rPr>
            </w:pPr>
            <w:r w:rsidRPr="00FA383A">
              <w:rPr>
                <w:rFonts w:cs="Arial"/>
                <w:b/>
                <w:color w:val="auto"/>
                <w:sz w:val="20"/>
                <w:szCs w:val="20"/>
              </w:rPr>
              <w:t>270</w:t>
            </w:r>
          </w:p>
        </w:tc>
      </w:tr>
    </w:tbl>
    <w:p w14:paraId="1FCE5026" w14:textId="77777777" w:rsidR="00FA1855" w:rsidRPr="004274AD" w:rsidRDefault="00FA1855" w:rsidP="00FA1855">
      <w:pPr>
        <w:spacing w:after="0"/>
        <w:jc w:val="center"/>
        <w:rPr>
          <w:rFonts w:cs="Arial"/>
          <w:color w:val="auto"/>
        </w:rPr>
      </w:pPr>
    </w:p>
    <w:p w14:paraId="48E59281" w14:textId="77777777" w:rsidR="00FA1855" w:rsidRDefault="00162F2E" w:rsidP="00FA1855">
      <w:pPr>
        <w:spacing w:after="0"/>
        <w:rPr>
          <w:rFonts w:cs="Arial"/>
          <w:color w:val="auto"/>
        </w:rPr>
      </w:pPr>
      <w:r w:rsidRPr="00BD5093">
        <w:rPr>
          <w:rFonts w:cs="Arial"/>
          <w:color w:val="auto"/>
        </w:rPr>
        <w:t>298 schools operated an in</w:t>
      </w:r>
      <w:r w:rsidR="00D06CF0" w:rsidRPr="00BD5093">
        <w:rPr>
          <w:rFonts w:cs="Arial"/>
          <w:color w:val="auto"/>
        </w:rPr>
        <w:t>-</w:t>
      </w:r>
      <w:r w:rsidRPr="00BD5093">
        <w:rPr>
          <w:rFonts w:cs="Arial"/>
          <w:color w:val="auto"/>
        </w:rPr>
        <w:t xml:space="preserve">year deficit in </w:t>
      </w:r>
      <w:r>
        <w:rPr>
          <w:rFonts w:cs="Arial"/>
          <w:color w:val="auto"/>
        </w:rPr>
        <w:t xml:space="preserve">2021/22, which equates to 52%, with 270 schools (48%) operating an </w:t>
      </w:r>
      <w:bookmarkStart w:id="5" w:name="_Int_6UWn19Um"/>
      <w:r>
        <w:rPr>
          <w:rFonts w:cs="Arial"/>
          <w:color w:val="auto"/>
        </w:rPr>
        <w:t>in year</w:t>
      </w:r>
      <w:bookmarkEnd w:id="5"/>
      <w:r>
        <w:rPr>
          <w:rFonts w:cs="Arial"/>
          <w:color w:val="auto"/>
        </w:rPr>
        <w:t xml:space="preserve"> surplus.  This level of in year spending in 2021/22 is more in line with historic levels.  In 2020/21, 88% of schools operated an in</w:t>
      </w:r>
      <w:r w:rsidR="00D06CF0">
        <w:rPr>
          <w:rFonts w:cs="Arial"/>
          <w:color w:val="auto"/>
        </w:rPr>
        <w:t>-</w:t>
      </w:r>
      <w:r>
        <w:rPr>
          <w:rFonts w:cs="Arial"/>
          <w:color w:val="auto"/>
        </w:rPr>
        <w:t>year surplus, as school expenditure levels were curtailed, largely as a result of reduced operations during national COVID-19 lockdowns.</w:t>
      </w:r>
    </w:p>
    <w:p w14:paraId="2A322A65" w14:textId="77777777" w:rsidR="00FA1855" w:rsidRPr="004274AD" w:rsidRDefault="00FA1855" w:rsidP="00FA1855">
      <w:pPr>
        <w:spacing w:after="0"/>
        <w:rPr>
          <w:rFonts w:cs="Arial"/>
          <w:color w:val="auto"/>
        </w:rPr>
      </w:pPr>
    </w:p>
    <w:p w14:paraId="61911BC3" w14:textId="77777777" w:rsidR="00FA1855" w:rsidRPr="004274AD" w:rsidRDefault="00162F2E" w:rsidP="00FA1855">
      <w:pPr>
        <w:spacing w:after="0"/>
        <w:rPr>
          <w:rFonts w:cs="Arial"/>
          <w:b/>
          <w:color w:val="auto"/>
        </w:rPr>
      </w:pPr>
      <w:r w:rsidRPr="004274AD">
        <w:rPr>
          <w:rFonts w:cs="Arial"/>
          <w:b/>
          <w:color w:val="auto"/>
        </w:rPr>
        <w:t>2021/22 School Balances – Number of Schools in Surplus/Deficit by Phase</w:t>
      </w:r>
    </w:p>
    <w:p w14:paraId="16E2F517" w14:textId="77777777" w:rsidR="00FA1855" w:rsidRPr="004274AD" w:rsidRDefault="00FA1855" w:rsidP="00FA1855">
      <w:pPr>
        <w:spacing w:after="0"/>
        <w:rPr>
          <w:rFonts w:cs="Arial"/>
          <w:color w:val="auto"/>
        </w:rPr>
      </w:pPr>
    </w:p>
    <w:tbl>
      <w:tblPr>
        <w:tblW w:w="8921" w:type="dxa"/>
        <w:tblInd w:w="5" w:type="dxa"/>
        <w:tblLayout w:type="fixed"/>
        <w:tblLook w:val="04A0" w:firstRow="1" w:lastRow="0" w:firstColumn="1" w:lastColumn="0" w:noHBand="0" w:noVBand="1"/>
      </w:tblPr>
      <w:tblGrid>
        <w:gridCol w:w="3109"/>
        <w:gridCol w:w="2977"/>
        <w:gridCol w:w="2835"/>
      </w:tblGrid>
      <w:tr w:rsidR="006E5B54" w14:paraId="29D57453" w14:textId="77777777" w:rsidTr="00E1345A">
        <w:trPr>
          <w:trHeight w:val="340"/>
        </w:trPr>
        <w:tc>
          <w:tcPr>
            <w:tcW w:w="3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E12064" w14:textId="77777777" w:rsidR="00FA1855" w:rsidRPr="00F060FB" w:rsidRDefault="00162F2E" w:rsidP="00704341">
            <w:pPr>
              <w:spacing w:after="0"/>
              <w:rPr>
                <w:rFonts w:cs="Arial"/>
                <w:b/>
                <w:bCs/>
                <w:color w:val="auto"/>
              </w:rPr>
            </w:pPr>
            <w:r w:rsidRPr="00F060FB">
              <w:rPr>
                <w:rFonts w:cs="Arial"/>
                <w:b/>
                <w:bCs/>
                <w:color w:val="auto"/>
              </w:rPr>
              <w:t>Phase</w:t>
            </w: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6A4562D" w14:textId="77777777" w:rsidR="00FA1855" w:rsidRPr="00F060FB" w:rsidRDefault="00162F2E" w:rsidP="00704341">
            <w:pPr>
              <w:spacing w:after="0"/>
              <w:jc w:val="center"/>
              <w:rPr>
                <w:rFonts w:cs="Arial"/>
                <w:b/>
                <w:color w:val="auto"/>
                <w:szCs w:val="22"/>
              </w:rPr>
            </w:pPr>
            <w:r w:rsidRPr="00F060FB">
              <w:rPr>
                <w:rFonts w:cs="Arial"/>
                <w:b/>
                <w:color w:val="auto"/>
                <w:szCs w:val="22"/>
              </w:rPr>
              <w:t>Count of deficit close balance</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98AB885" w14:textId="77777777" w:rsidR="00FA1855" w:rsidRPr="00F060FB" w:rsidRDefault="00162F2E" w:rsidP="00704341">
            <w:pPr>
              <w:spacing w:after="0"/>
              <w:jc w:val="center"/>
              <w:rPr>
                <w:rFonts w:cs="Arial"/>
                <w:b/>
                <w:color w:val="auto"/>
                <w:szCs w:val="22"/>
              </w:rPr>
            </w:pPr>
            <w:r w:rsidRPr="00F060FB">
              <w:rPr>
                <w:rFonts w:cs="Arial"/>
                <w:b/>
                <w:color w:val="auto"/>
                <w:szCs w:val="22"/>
              </w:rPr>
              <w:t>Count of surplus close balance</w:t>
            </w:r>
          </w:p>
        </w:tc>
      </w:tr>
      <w:tr w:rsidR="006E5B54" w14:paraId="6EA0007D" w14:textId="77777777" w:rsidTr="00704341">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7CDC5BDB" w14:textId="77777777" w:rsidR="00FA1855" w:rsidRPr="00F060FB" w:rsidRDefault="00162F2E" w:rsidP="00704341">
            <w:pPr>
              <w:spacing w:after="0"/>
              <w:rPr>
                <w:rFonts w:cs="Arial"/>
                <w:color w:val="auto"/>
              </w:rPr>
            </w:pPr>
            <w:r w:rsidRPr="00F060FB">
              <w:rPr>
                <w:rFonts w:cs="Arial"/>
                <w:color w:val="auto"/>
              </w:rPr>
              <w:t>Nursery</w:t>
            </w:r>
          </w:p>
        </w:tc>
        <w:tc>
          <w:tcPr>
            <w:tcW w:w="2977" w:type="dxa"/>
            <w:tcBorders>
              <w:top w:val="nil"/>
              <w:left w:val="nil"/>
              <w:bottom w:val="single" w:sz="4" w:space="0" w:color="auto"/>
              <w:right w:val="single" w:sz="4" w:space="0" w:color="auto"/>
            </w:tcBorders>
            <w:shd w:val="clear" w:color="auto" w:fill="auto"/>
            <w:noWrap/>
            <w:vAlign w:val="bottom"/>
            <w:hideMark/>
          </w:tcPr>
          <w:p w14:paraId="2CBCDA3E" w14:textId="77777777" w:rsidR="00FA1855" w:rsidRPr="00F060FB" w:rsidRDefault="00162F2E" w:rsidP="00704341">
            <w:pPr>
              <w:spacing w:after="0"/>
              <w:jc w:val="center"/>
              <w:rPr>
                <w:rFonts w:cs="Arial"/>
                <w:color w:val="auto"/>
                <w:szCs w:val="22"/>
              </w:rPr>
            </w:pPr>
            <w:r w:rsidRPr="00F060FB">
              <w:rPr>
                <w:rFonts w:cs="Arial"/>
                <w:color w:val="auto"/>
                <w:szCs w:val="22"/>
              </w:rPr>
              <w:t>6</w:t>
            </w:r>
          </w:p>
        </w:tc>
        <w:tc>
          <w:tcPr>
            <w:tcW w:w="2835" w:type="dxa"/>
            <w:tcBorders>
              <w:top w:val="nil"/>
              <w:left w:val="nil"/>
              <w:bottom w:val="single" w:sz="4" w:space="0" w:color="auto"/>
              <w:right w:val="single" w:sz="4" w:space="0" w:color="auto"/>
            </w:tcBorders>
            <w:shd w:val="clear" w:color="auto" w:fill="auto"/>
            <w:noWrap/>
            <w:vAlign w:val="bottom"/>
            <w:hideMark/>
          </w:tcPr>
          <w:p w14:paraId="640D55C3" w14:textId="77777777" w:rsidR="00FA1855" w:rsidRPr="00F060FB" w:rsidRDefault="00162F2E" w:rsidP="00704341">
            <w:pPr>
              <w:spacing w:after="0"/>
              <w:jc w:val="center"/>
              <w:rPr>
                <w:rFonts w:cs="Arial"/>
                <w:color w:val="auto"/>
                <w:szCs w:val="22"/>
              </w:rPr>
            </w:pPr>
            <w:r w:rsidRPr="00F060FB">
              <w:rPr>
                <w:rFonts w:cs="Arial"/>
                <w:color w:val="auto"/>
                <w:szCs w:val="22"/>
              </w:rPr>
              <w:t>18</w:t>
            </w:r>
          </w:p>
        </w:tc>
      </w:tr>
      <w:tr w:rsidR="006E5B54" w14:paraId="446B87BE" w14:textId="77777777" w:rsidTr="00704341">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0B3FB5C6" w14:textId="77777777" w:rsidR="00FA1855" w:rsidRPr="00F060FB" w:rsidRDefault="00162F2E" w:rsidP="00704341">
            <w:pPr>
              <w:spacing w:after="0"/>
              <w:rPr>
                <w:rFonts w:cs="Arial"/>
                <w:color w:val="auto"/>
              </w:rPr>
            </w:pPr>
            <w:r w:rsidRPr="00F060FB">
              <w:rPr>
                <w:rFonts w:cs="Arial"/>
                <w:color w:val="auto"/>
              </w:rPr>
              <w:t>Primary</w:t>
            </w:r>
          </w:p>
        </w:tc>
        <w:tc>
          <w:tcPr>
            <w:tcW w:w="2977" w:type="dxa"/>
            <w:tcBorders>
              <w:top w:val="nil"/>
              <w:left w:val="nil"/>
              <w:bottom w:val="single" w:sz="4" w:space="0" w:color="auto"/>
              <w:right w:val="single" w:sz="4" w:space="0" w:color="auto"/>
            </w:tcBorders>
            <w:shd w:val="clear" w:color="auto" w:fill="auto"/>
            <w:noWrap/>
            <w:vAlign w:val="bottom"/>
            <w:hideMark/>
          </w:tcPr>
          <w:p w14:paraId="262D11DF" w14:textId="77777777" w:rsidR="00FA1855" w:rsidRPr="00F060FB" w:rsidRDefault="00162F2E" w:rsidP="00704341">
            <w:pPr>
              <w:spacing w:after="0"/>
              <w:jc w:val="center"/>
              <w:rPr>
                <w:rFonts w:cs="Arial"/>
                <w:color w:val="auto"/>
                <w:szCs w:val="22"/>
              </w:rPr>
            </w:pPr>
            <w:r w:rsidRPr="00F060FB">
              <w:rPr>
                <w:rFonts w:cs="Arial"/>
                <w:color w:val="auto"/>
                <w:szCs w:val="22"/>
              </w:rPr>
              <w:t>11</w:t>
            </w:r>
          </w:p>
        </w:tc>
        <w:tc>
          <w:tcPr>
            <w:tcW w:w="2835" w:type="dxa"/>
            <w:tcBorders>
              <w:top w:val="nil"/>
              <w:left w:val="nil"/>
              <w:bottom w:val="single" w:sz="4" w:space="0" w:color="auto"/>
              <w:right w:val="single" w:sz="4" w:space="0" w:color="auto"/>
            </w:tcBorders>
            <w:shd w:val="clear" w:color="auto" w:fill="auto"/>
            <w:noWrap/>
            <w:vAlign w:val="bottom"/>
            <w:hideMark/>
          </w:tcPr>
          <w:p w14:paraId="2A13608B" w14:textId="77777777" w:rsidR="00FA1855" w:rsidRPr="00F060FB" w:rsidRDefault="00162F2E" w:rsidP="00704341">
            <w:pPr>
              <w:spacing w:after="0"/>
              <w:jc w:val="center"/>
              <w:rPr>
                <w:rFonts w:cs="Arial"/>
                <w:color w:val="auto"/>
                <w:szCs w:val="22"/>
              </w:rPr>
            </w:pPr>
            <w:r w:rsidRPr="00F060FB">
              <w:rPr>
                <w:rFonts w:cs="Arial"/>
                <w:color w:val="auto"/>
                <w:szCs w:val="22"/>
              </w:rPr>
              <w:t>450</w:t>
            </w:r>
          </w:p>
        </w:tc>
      </w:tr>
      <w:tr w:rsidR="006E5B54" w14:paraId="00E0F463" w14:textId="77777777" w:rsidTr="00704341">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6C43564B" w14:textId="77777777" w:rsidR="00FA1855" w:rsidRPr="00F060FB" w:rsidRDefault="00162F2E" w:rsidP="00704341">
            <w:pPr>
              <w:spacing w:after="0"/>
              <w:rPr>
                <w:rFonts w:cs="Arial"/>
                <w:color w:val="auto"/>
              </w:rPr>
            </w:pPr>
            <w:r w:rsidRPr="00F060FB">
              <w:rPr>
                <w:rFonts w:cs="Arial"/>
                <w:color w:val="auto"/>
              </w:rPr>
              <w:t>Secondary</w:t>
            </w:r>
          </w:p>
        </w:tc>
        <w:tc>
          <w:tcPr>
            <w:tcW w:w="2977" w:type="dxa"/>
            <w:tcBorders>
              <w:top w:val="nil"/>
              <w:left w:val="nil"/>
              <w:bottom w:val="single" w:sz="4" w:space="0" w:color="auto"/>
              <w:right w:val="single" w:sz="4" w:space="0" w:color="auto"/>
            </w:tcBorders>
            <w:shd w:val="clear" w:color="auto" w:fill="auto"/>
            <w:noWrap/>
            <w:vAlign w:val="bottom"/>
            <w:hideMark/>
          </w:tcPr>
          <w:p w14:paraId="6E526604" w14:textId="77777777" w:rsidR="00FA1855" w:rsidRPr="00F060FB" w:rsidRDefault="00162F2E" w:rsidP="00704341">
            <w:pPr>
              <w:spacing w:after="0"/>
              <w:jc w:val="center"/>
              <w:rPr>
                <w:rFonts w:cs="Arial"/>
                <w:color w:val="auto"/>
                <w:szCs w:val="22"/>
              </w:rPr>
            </w:pPr>
            <w:r w:rsidRPr="00F060FB">
              <w:rPr>
                <w:rFonts w:cs="Arial"/>
                <w:color w:val="auto"/>
                <w:szCs w:val="22"/>
              </w:rPr>
              <w:t>1</w:t>
            </w:r>
          </w:p>
        </w:tc>
        <w:tc>
          <w:tcPr>
            <w:tcW w:w="2835" w:type="dxa"/>
            <w:tcBorders>
              <w:top w:val="nil"/>
              <w:left w:val="nil"/>
              <w:bottom w:val="single" w:sz="4" w:space="0" w:color="auto"/>
              <w:right w:val="single" w:sz="4" w:space="0" w:color="auto"/>
            </w:tcBorders>
            <w:shd w:val="clear" w:color="auto" w:fill="auto"/>
            <w:noWrap/>
            <w:vAlign w:val="bottom"/>
            <w:hideMark/>
          </w:tcPr>
          <w:p w14:paraId="6A20A182" w14:textId="77777777" w:rsidR="00FA1855" w:rsidRPr="00F060FB" w:rsidRDefault="00162F2E" w:rsidP="00704341">
            <w:pPr>
              <w:spacing w:after="0"/>
              <w:jc w:val="center"/>
              <w:rPr>
                <w:rFonts w:cs="Arial"/>
                <w:color w:val="auto"/>
                <w:szCs w:val="22"/>
              </w:rPr>
            </w:pPr>
            <w:r w:rsidRPr="00F060FB">
              <w:rPr>
                <w:rFonts w:cs="Arial"/>
                <w:color w:val="auto"/>
                <w:szCs w:val="22"/>
              </w:rPr>
              <w:t>45</w:t>
            </w:r>
          </w:p>
        </w:tc>
      </w:tr>
      <w:tr w:rsidR="006E5B54" w14:paraId="0C7DC0CB" w14:textId="77777777" w:rsidTr="00704341">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510C2C9E" w14:textId="77777777" w:rsidR="00FA1855" w:rsidRPr="00F060FB" w:rsidRDefault="00162F2E" w:rsidP="00704341">
            <w:pPr>
              <w:spacing w:after="0"/>
              <w:rPr>
                <w:rFonts w:cs="Arial"/>
                <w:color w:val="auto"/>
              </w:rPr>
            </w:pPr>
            <w:r w:rsidRPr="00F060FB">
              <w:rPr>
                <w:rFonts w:cs="Arial"/>
                <w:color w:val="auto"/>
              </w:rPr>
              <w:t>Special</w:t>
            </w:r>
          </w:p>
        </w:tc>
        <w:tc>
          <w:tcPr>
            <w:tcW w:w="2977" w:type="dxa"/>
            <w:tcBorders>
              <w:top w:val="nil"/>
              <w:left w:val="nil"/>
              <w:bottom w:val="single" w:sz="4" w:space="0" w:color="auto"/>
              <w:right w:val="single" w:sz="4" w:space="0" w:color="auto"/>
            </w:tcBorders>
            <w:shd w:val="clear" w:color="auto" w:fill="auto"/>
            <w:noWrap/>
            <w:vAlign w:val="bottom"/>
            <w:hideMark/>
          </w:tcPr>
          <w:p w14:paraId="5B187B25" w14:textId="77777777" w:rsidR="00FA1855" w:rsidRPr="00F060FB" w:rsidRDefault="00162F2E" w:rsidP="00704341">
            <w:pPr>
              <w:spacing w:after="0"/>
              <w:jc w:val="center"/>
              <w:rPr>
                <w:rFonts w:cs="Arial"/>
                <w:color w:val="auto"/>
                <w:szCs w:val="22"/>
              </w:rPr>
            </w:pPr>
            <w:r w:rsidRPr="00F060FB">
              <w:rPr>
                <w:rFonts w:cs="Arial"/>
                <w:color w:val="auto"/>
                <w:szCs w:val="22"/>
              </w:rPr>
              <w:t>3</w:t>
            </w:r>
          </w:p>
        </w:tc>
        <w:tc>
          <w:tcPr>
            <w:tcW w:w="2835" w:type="dxa"/>
            <w:tcBorders>
              <w:top w:val="nil"/>
              <w:left w:val="nil"/>
              <w:bottom w:val="single" w:sz="4" w:space="0" w:color="auto"/>
              <w:right w:val="single" w:sz="4" w:space="0" w:color="auto"/>
            </w:tcBorders>
            <w:shd w:val="clear" w:color="auto" w:fill="auto"/>
            <w:noWrap/>
            <w:vAlign w:val="bottom"/>
            <w:hideMark/>
          </w:tcPr>
          <w:p w14:paraId="55392643" w14:textId="77777777" w:rsidR="00FA1855" w:rsidRPr="00F060FB" w:rsidRDefault="00162F2E" w:rsidP="00704341">
            <w:pPr>
              <w:spacing w:after="0"/>
              <w:jc w:val="center"/>
              <w:rPr>
                <w:rFonts w:cs="Arial"/>
                <w:color w:val="auto"/>
                <w:szCs w:val="22"/>
              </w:rPr>
            </w:pPr>
            <w:r w:rsidRPr="00F060FB">
              <w:rPr>
                <w:rFonts w:cs="Arial"/>
                <w:color w:val="auto"/>
                <w:szCs w:val="22"/>
              </w:rPr>
              <w:t>26</w:t>
            </w:r>
          </w:p>
        </w:tc>
      </w:tr>
      <w:tr w:rsidR="006E5B54" w14:paraId="1EE75536" w14:textId="77777777" w:rsidTr="00704341">
        <w:trPr>
          <w:trHeight w:val="340"/>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4F59E72A" w14:textId="77777777" w:rsidR="00FA1855" w:rsidRPr="00F060FB" w:rsidRDefault="00162F2E" w:rsidP="00704341">
            <w:pPr>
              <w:spacing w:after="0"/>
              <w:rPr>
                <w:rFonts w:cs="Arial"/>
                <w:color w:val="auto"/>
              </w:rPr>
            </w:pPr>
            <w:r w:rsidRPr="00F060FB">
              <w:rPr>
                <w:rFonts w:cs="Arial"/>
                <w:color w:val="auto"/>
              </w:rPr>
              <w:t xml:space="preserve">Short Stay </w:t>
            </w:r>
          </w:p>
        </w:tc>
        <w:tc>
          <w:tcPr>
            <w:tcW w:w="2977" w:type="dxa"/>
            <w:tcBorders>
              <w:top w:val="nil"/>
              <w:left w:val="nil"/>
              <w:bottom w:val="single" w:sz="4" w:space="0" w:color="auto"/>
              <w:right w:val="single" w:sz="4" w:space="0" w:color="auto"/>
            </w:tcBorders>
            <w:shd w:val="clear" w:color="auto" w:fill="auto"/>
            <w:noWrap/>
            <w:vAlign w:val="bottom"/>
            <w:hideMark/>
          </w:tcPr>
          <w:p w14:paraId="470611AC" w14:textId="77777777" w:rsidR="00FA1855" w:rsidRPr="00F060FB" w:rsidRDefault="00162F2E" w:rsidP="00704341">
            <w:pPr>
              <w:spacing w:after="0"/>
              <w:jc w:val="center"/>
              <w:rPr>
                <w:rFonts w:cs="Arial"/>
                <w:color w:val="auto"/>
                <w:szCs w:val="22"/>
              </w:rPr>
            </w:pPr>
            <w:r w:rsidRPr="00F060FB">
              <w:rPr>
                <w:rFonts w:cs="Arial"/>
                <w:color w:val="auto"/>
                <w:szCs w:val="22"/>
              </w:rPr>
              <w:t>0</w:t>
            </w:r>
          </w:p>
        </w:tc>
        <w:tc>
          <w:tcPr>
            <w:tcW w:w="2835" w:type="dxa"/>
            <w:tcBorders>
              <w:top w:val="nil"/>
              <w:left w:val="nil"/>
              <w:bottom w:val="single" w:sz="4" w:space="0" w:color="auto"/>
              <w:right w:val="single" w:sz="4" w:space="0" w:color="auto"/>
            </w:tcBorders>
            <w:shd w:val="clear" w:color="auto" w:fill="auto"/>
            <w:noWrap/>
            <w:vAlign w:val="bottom"/>
            <w:hideMark/>
          </w:tcPr>
          <w:p w14:paraId="4EE0BE0A" w14:textId="77777777" w:rsidR="00FA1855" w:rsidRPr="00F060FB" w:rsidRDefault="00162F2E" w:rsidP="00704341">
            <w:pPr>
              <w:spacing w:after="0"/>
              <w:jc w:val="center"/>
              <w:rPr>
                <w:rFonts w:cs="Arial"/>
                <w:color w:val="auto"/>
                <w:szCs w:val="22"/>
              </w:rPr>
            </w:pPr>
            <w:r w:rsidRPr="00F060FB">
              <w:rPr>
                <w:rFonts w:cs="Arial"/>
                <w:color w:val="auto"/>
                <w:szCs w:val="22"/>
              </w:rPr>
              <w:t>8</w:t>
            </w:r>
          </w:p>
        </w:tc>
      </w:tr>
      <w:tr w:rsidR="006E5B54" w14:paraId="6A2FAE01" w14:textId="77777777" w:rsidTr="00E1345A">
        <w:trPr>
          <w:trHeight w:val="340"/>
        </w:trPr>
        <w:tc>
          <w:tcPr>
            <w:tcW w:w="3109"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2BBCA859" w14:textId="77777777" w:rsidR="00FA1855" w:rsidRPr="00F060FB" w:rsidRDefault="00162F2E" w:rsidP="00704341">
            <w:pPr>
              <w:spacing w:after="0"/>
              <w:rPr>
                <w:rFonts w:cs="Arial"/>
                <w:b/>
                <w:bCs/>
                <w:color w:val="auto"/>
              </w:rPr>
            </w:pPr>
            <w:r w:rsidRPr="00F060FB">
              <w:rPr>
                <w:rFonts w:cs="Arial"/>
                <w:b/>
                <w:bCs/>
                <w:color w:val="auto"/>
              </w:rPr>
              <w:t>Total</w:t>
            </w:r>
          </w:p>
        </w:tc>
        <w:tc>
          <w:tcPr>
            <w:tcW w:w="2977" w:type="dxa"/>
            <w:tcBorders>
              <w:top w:val="nil"/>
              <w:left w:val="nil"/>
              <w:bottom w:val="single" w:sz="4" w:space="0" w:color="auto"/>
              <w:right w:val="single" w:sz="4" w:space="0" w:color="auto"/>
            </w:tcBorders>
            <w:shd w:val="clear" w:color="auto" w:fill="BFBFBF" w:themeFill="background1" w:themeFillShade="BF"/>
            <w:noWrap/>
            <w:vAlign w:val="bottom"/>
            <w:hideMark/>
          </w:tcPr>
          <w:p w14:paraId="7F932CDA" w14:textId="77777777" w:rsidR="00FA1855" w:rsidRPr="00F060FB" w:rsidRDefault="00162F2E" w:rsidP="00704341">
            <w:pPr>
              <w:spacing w:after="0"/>
              <w:jc w:val="center"/>
              <w:rPr>
                <w:rFonts w:cs="Arial"/>
                <w:b/>
                <w:color w:val="auto"/>
                <w:szCs w:val="22"/>
              </w:rPr>
            </w:pPr>
            <w:r w:rsidRPr="00F060FB">
              <w:rPr>
                <w:rFonts w:cs="Arial"/>
                <w:b/>
                <w:color w:val="auto"/>
                <w:szCs w:val="22"/>
              </w:rPr>
              <w:t>21</w:t>
            </w:r>
          </w:p>
        </w:tc>
        <w:tc>
          <w:tcPr>
            <w:tcW w:w="2835" w:type="dxa"/>
            <w:tcBorders>
              <w:top w:val="nil"/>
              <w:left w:val="nil"/>
              <w:bottom w:val="single" w:sz="4" w:space="0" w:color="auto"/>
              <w:right w:val="single" w:sz="4" w:space="0" w:color="auto"/>
            </w:tcBorders>
            <w:shd w:val="clear" w:color="auto" w:fill="BFBFBF" w:themeFill="background1" w:themeFillShade="BF"/>
            <w:noWrap/>
            <w:vAlign w:val="bottom"/>
            <w:hideMark/>
          </w:tcPr>
          <w:p w14:paraId="4C2CB52F" w14:textId="77777777" w:rsidR="00FA1855" w:rsidRPr="00F060FB" w:rsidRDefault="00162F2E" w:rsidP="00704341">
            <w:pPr>
              <w:spacing w:after="0"/>
              <w:jc w:val="center"/>
              <w:rPr>
                <w:rFonts w:cs="Arial"/>
                <w:b/>
                <w:color w:val="auto"/>
                <w:szCs w:val="22"/>
              </w:rPr>
            </w:pPr>
            <w:r w:rsidRPr="00F060FB">
              <w:rPr>
                <w:rFonts w:cs="Arial"/>
                <w:b/>
                <w:color w:val="auto"/>
                <w:szCs w:val="22"/>
              </w:rPr>
              <w:t>547</w:t>
            </w:r>
          </w:p>
        </w:tc>
      </w:tr>
    </w:tbl>
    <w:p w14:paraId="423345B6" w14:textId="77777777" w:rsidR="00FA1855" w:rsidRPr="004274AD" w:rsidRDefault="00FA1855" w:rsidP="00FA1855">
      <w:pPr>
        <w:spacing w:after="0"/>
        <w:rPr>
          <w:rFonts w:cs="Arial"/>
          <w:color w:val="auto"/>
        </w:rPr>
      </w:pPr>
    </w:p>
    <w:p w14:paraId="44063FCB" w14:textId="77777777" w:rsidR="00FA1855" w:rsidRPr="004274AD" w:rsidRDefault="00162F2E" w:rsidP="00FA1855">
      <w:pPr>
        <w:spacing w:after="0"/>
        <w:rPr>
          <w:rFonts w:cs="Arial"/>
          <w:color w:val="auto"/>
        </w:rPr>
      </w:pPr>
      <w:r>
        <w:rPr>
          <w:rFonts w:cs="Arial"/>
          <w:color w:val="auto"/>
        </w:rPr>
        <w:t>21</w:t>
      </w:r>
      <w:r w:rsidRPr="004274AD">
        <w:rPr>
          <w:rFonts w:cs="Arial"/>
          <w:color w:val="auto"/>
        </w:rPr>
        <w:t xml:space="preserve"> schools ended the 2021/22 financial year in deficit.  The number of schools in deficit </w:t>
      </w:r>
      <w:bookmarkStart w:id="6" w:name="_Int_iAldMMuy"/>
      <w:r w:rsidRPr="004274AD">
        <w:rPr>
          <w:rFonts w:cs="Arial"/>
          <w:color w:val="auto"/>
        </w:rPr>
        <w:t>at</w:t>
      </w:r>
      <w:bookmarkEnd w:id="6"/>
      <w:r w:rsidRPr="004274AD">
        <w:rPr>
          <w:rFonts w:cs="Arial"/>
          <w:color w:val="auto"/>
        </w:rPr>
        <w:t xml:space="preserve"> 31 March 202</w:t>
      </w:r>
      <w:r>
        <w:rPr>
          <w:rFonts w:cs="Arial"/>
          <w:color w:val="auto"/>
        </w:rPr>
        <w:t xml:space="preserve">2 </w:t>
      </w:r>
      <w:r w:rsidRPr="004274AD">
        <w:rPr>
          <w:rFonts w:cs="Arial"/>
          <w:color w:val="auto"/>
        </w:rPr>
        <w:t xml:space="preserve">has decreased from </w:t>
      </w:r>
      <w:r>
        <w:rPr>
          <w:rFonts w:cs="Arial"/>
          <w:color w:val="auto"/>
        </w:rPr>
        <w:t xml:space="preserve">30 </w:t>
      </w:r>
      <w:r w:rsidRPr="004274AD">
        <w:rPr>
          <w:rFonts w:cs="Arial"/>
          <w:color w:val="auto"/>
        </w:rPr>
        <w:t xml:space="preserve">schools in deficit a year earlier. The nursery sector </w:t>
      </w:r>
      <w:r>
        <w:rPr>
          <w:rFonts w:cs="Arial"/>
          <w:color w:val="auto"/>
        </w:rPr>
        <w:t xml:space="preserve">remains </w:t>
      </w:r>
      <w:r w:rsidRPr="004274AD">
        <w:rPr>
          <w:rFonts w:cs="Arial"/>
          <w:color w:val="auto"/>
        </w:rPr>
        <w:t>the most concerning</w:t>
      </w:r>
      <w:r>
        <w:rPr>
          <w:rFonts w:cs="Arial"/>
          <w:color w:val="auto"/>
        </w:rPr>
        <w:t xml:space="preserve"> phase with 6 out of 24 schools ending the financial year in deficit</w:t>
      </w:r>
      <w:r w:rsidRPr="004274AD">
        <w:rPr>
          <w:rFonts w:cs="Arial"/>
          <w:color w:val="auto"/>
        </w:rPr>
        <w:t xml:space="preserve">, </w:t>
      </w:r>
      <w:r>
        <w:rPr>
          <w:rFonts w:cs="Arial"/>
          <w:color w:val="auto"/>
        </w:rPr>
        <w:t>representing</w:t>
      </w:r>
      <w:r w:rsidRPr="004274AD">
        <w:rPr>
          <w:rFonts w:cs="Arial"/>
          <w:color w:val="auto"/>
        </w:rPr>
        <w:t xml:space="preserve"> </w:t>
      </w:r>
      <w:r>
        <w:rPr>
          <w:rFonts w:cs="Arial"/>
          <w:color w:val="auto"/>
        </w:rPr>
        <w:t>25</w:t>
      </w:r>
      <w:r w:rsidRPr="004274AD">
        <w:rPr>
          <w:rFonts w:cs="Arial"/>
          <w:color w:val="auto"/>
        </w:rPr>
        <w:t xml:space="preserve">% </w:t>
      </w:r>
      <w:r>
        <w:rPr>
          <w:rFonts w:cs="Arial"/>
          <w:color w:val="auto"/>
        </w:rPr>
        <w:t>of schools in the sector.</w:t>
      </w:r>
    </w:p>
    <w:p w14:paraId="3ECA1F12" w14:textId="77777777" w:rsidR="00FA1855" w:rsidRDefault="00FA1855" w:rsidP="00FA1855">
      <w:pPr>
        <w:spacing w:after="0"/>
        <w:rPr>
          <w:rFonts w:cs="Arial"/>
          <w:color w:val="auto"/>
        </w:rPr>
      </w:pPr>
    </w:p>
    <w:p w14:paraId="6B16C496" w14:textId="77777777" w:rsidR="00FA1855" w:rsidRPr="004274AD" w:rsidRDefault="00162F2E" w:rsidP="00FA1855">
      <w:pPr>
        <w:spacing w:after="0"/>
        <w:rPr>
          <w:rFonts w:cs="Arial"/>
          <w:color w:val="auto"/>
        </w:rPr>
      </w:pPr>
      <w:r w:rsidRPr="004274AD">
        <w:rPr>
          <w:rFonts w:cs="Arial"/>
          <w:color w:val="auto"/>
        </w:rPr>
        <w:t xml:space="preserve">A comparison showing the </w:t>
      </w:r>
      <w:r>
        <w:rPr>
          <w:rFonts w:cs="Arial"/>
          <w:color w:val="auto"/>
        </w:rPr>
        <w:t xml:space="preserve">total </w:t>
      </w:r>
      <w:r w:rsidRPr="004274AD">
        <w:rPr>
          <w:rFonts w:cs="Arial"/>
          <w:color w:val="auto"/>
        </w:rPr>
        <w:t>number of schools in deficit across recent years is provided below:</w:t>
      </w:r>
    </w:p>
    <w:p w14:paraId="6380A088" w14:textId="77777777" w:rsidR="00FA1855" w:rsidRPr="004274AD" w:rsidRDefault="00FA1855" w:rsidP="00FA1855">
      <w:pPr>
        <w:spacing w:after="0"/>
        <w:rPr>
          <w:rFonts w:cs="Arial"/>
          <w:color w:val="auto"/>
        </w:rPr>
      </w:pPr>
    </w:p>
    <w:tbl>
      <w:tblPr>
        <w:tblStyle w:val="TableGrid"/>
        <w:tblW w:w="0" w:type="auto"/>
        <w:tblLook w:val="04A0" w:firstRow="1" w:lastRow="0" w:firstColumn="1" w:lastColumn="0" w:noHBand="0" w:noVBand="1"/>
      </w:tblPr>
      <w:tblGrid>
        <w:gridCol w:w="4238"/>
        <w:gridCol w:w="4256"/>
      </w:tblGrid>
      <w:tr w:rsidR="006E5B54" w14:paraId="1217528A" w14:textId="77777777" w:rsidTr="00E1345A">
        <w:tc>
          <w:tcPr>
            <w:tcW w:w="4508" w:type="dxa"/>
            <w:shd w:val="clear" w:color="auto" w:fill="BFBFBF" w:themeFill="background1" w:themeFillShade="BF"/>
          </w:tcPr>
          <w:p w14:paraId="589B6CED" w14:textId="77777777" w:rsidR="00FA1855" w:rsidRPr="004274AD" w:rsidRDefault="00162F2E" w:rsidP="00704341">
            <w:pPr>
              <w:spacing w:after="0"/>
              <w:jc w:val="center"/>
              <w:rPr>
                <w:rFonts w:cs="Arial"/>
                <w:b/>
                <w:bCs/>
                <w:color w:val="auto"/>
              </w:rPr>
            </w:pPr>
            <w:r w:rsidRPr="004274AD">
              <w:rPr>
                <w:rFonts w:cs="Arial"/>
                <w:b/>
                <w:bCs/>
                <w:color w:val="auto"/>
              </w:rPr>
              <w:t xml:space="preserve">Year End </w:t>
            </w:r>
          </w:p>
        </w:tc>
        <w:tc>
          <w:tcPr>
            <w:tcW w:w="4508" w:type="dxa"/>
            <w:shd w:val="clear" w:color="auto" w:fill="BFBFBF" w:themeFill="background1" w:themeFillShade="BF"/>
          </w:tcPr>
          <w:p w14:paraId="5DAEB309" w14:textId="77777777" w:rsidR="00FA1855" w:rsidRPr="004274AD" w:rsidRDefault="00162F2E" w:rsidP="00704341">
            <w:pPr>
              <w:spacing w:after="0"/>
              <w:jc w:val="center"/>
              <w:rPr>
                <w:rFonts w:cs="Arial"/>
                <w:b/>
                <w:bCs/>
                <w:color w:val="auto"/>
              </w:rPr>
            </w:pPr>
            <w:r w:rsidRPr="004274AD">
              <w:rPr>
                <w:rFonts w:cs="Arial"/>
                <w:b/>
                <w:bCs/>
                <w:color w:val="auto"/>
              </w:rPr>
              <w:t>Number of schools in deficit</w:t>
            </w:r>
          </w:p>
        </w:tc>
      </w:tr>
      <w:tr w:rsidR="006E5B54" w14:paraId="3E496040" w14:textId="77777777" w:rsidTr="00704341">
        <w:tc>
          <w:tcPr>
            <w:tcW w:w="4508" w:type="dxa"/>
          </w:tcPr>
          <w:p w14:paraId="23C62BAF" w14:textId="77777777" w:rsidR="00FA1855" w:rsidRPr="004274AD" w:rsidRDefault="00162F2E" w:rsidP="00704341">
            <w:pPr>
              <w:spacing w:after="0"/>
              <w:jc w:val="center"/>
              <w:rPr>
                <w:rFonts w:cs="Arial"/>
                <w:b/>
                <w:bCs/>
                <w:color w:val="auto"/>
              </w:rPr>
            </w:pPr>
            <w:r w:rsidRPr="004274AD">
              <w:rPr>
                <w:rFonts w:cs="Arial"/>
                <w:color w:val="auto"/>
              </w:rPr>
              <w:t>31 March 202</w:t>
            </w:r>
            <w:r>
              <w:rPr>
                <w:rFonts w:cs="Arial"/>
                <w:color w:val="auto"/>
              </w:rPr>
              <w:t>2</w:t>
            </w:r>
          </w:p>
        </w:tc>
        <w:tc>
          <w:tcPr>
            <w:tcW w:w="4508" w:type="dxa"/>
          </w:tcPr>
          <w:p w14:paraId="0486B138" w14:textId="77777777" w:rsidR="00FA1855" w:rsidRPr="003F6BFA" w:rsidRDefault="00162F2E" w:rsidP="00704341">
            <w:pPr>
              <w:spacing w:after="0"/>
              <w:jc w:val="center"/>
              <w:rPr>
                <w:rFonts w:cs="Arial"/>
                <w:color w:val="auto"/>
              </w:rPr>
            </w:pPr>
            <w:r w:rsidRPr="003F6BFA">
              <w:rPr>
                <w:rFonts w:cs="Arial"/>
                <w:color w:val="auto"/>
              </w:rPr>
              <w:t>21</w:t>
            </w:r>
          </w:p>
        </w:tc>
      </w:tr>
      <w:tr w:rsidR="006E5B54" w14:paraId="0C472756" w14:textId="77777777" w:rsidTr="00704341">
        <w:tc>
          <w:tcPr>
            <w:tcW w:w="4508" w:type="dxa"/>
          </w:tcPr>
          <w:p w14:paraId="1FFE45DA" w14:textId="77777777" w:rsidR="00FA1855" w:rsidRPr="004274AD" w:rsidRDefault="00162F2E" w:rsidP="00704341">
            <w:pPr>
              <w:spacing w:after="0"/>
              <w:jc w:val="center"/>
              <w:rPr>
                <w:rFonts w:cs="Arial"/>
                <w:color w:val="auto"/>
              </w:rPr>
            </w:pPr>
            <w:r w:rsidRPr="004274AD">
              <w:rPr>
                <w:rFonts w:cs="Arial"/>
                <w:color w:val="auto"/>
              </w:rPr>
              <w:t>31 March 2021</w:t>
            </w:r>
          </w:p>
        </w:tc>
        <w:tc>
          <w:tcPr>
            <w:tcW w:w="4508" w:type="dxa"/>
          </w:tcPr>
          <w:p w14:paraId="78CA846C" w14:textId="77777777" w:rsidR="00FA1855" w:rsidRPr="004274AD" w:rsidRDefault="00162F2E" w:rsidP="00704341">
            <w:pPr>
              <w:spacing w:after="0"/>
              <w:jc w:val="center"/>
              <w:rPr>
                <w:rFonts w:cs="Arial"/>
                <w:color w:val="auto"/>
              </w:rPr>
            </w:pPr>
            <w:r w:rsidRPr="004274AD">
              <w:rPr>
                <w:rFonts w:cs="Arial"/>
                <w:color w:val="auto"/>
              </w:rPr>
              <w:t>30</w:t>
            </w:r>
          </w:p>
        </w:tc>
      </w:tr>
      <w:tr w:rsidR="006E5B54" w14:paraId="36572139" w14:textId="77777777" w:rsidTr="00704341">
        <w:tc>
          <w:tcPr>
            <w:tcW w:w="4508" w:type="dxa"/>
          </w:tcPr>
          <w:p w14:paraId="20BCCAB6" w14:textId="77777777" w:rsidR="00FA1855" w:rsidRPr="004274AD" w:rsidRDefault="00162F2E" w:rsidP="00704341">
            <w:pPr>
              <w:spacing w:after="0"/>
              <w:jc w:val="center"/>
              <w:rPr>
                <w:rFonts w:cs="Arial"/>
                <w:color w:val="auto"/>
              </w:rPr>
            </w:pPr>
            <w:r w:rsidRPr="004274AD">
              <w:rPr>
                <w:rFonts w:cs="Arial"/>
                <w:color w:val="auto"/>
              </w:rPr>
              <w:t>31 March 2020</w:t>
            </w:r>
          </w:p>
        </w:tc>
        <w:tc>
          <w:tcPr>
            <w:tcW w:w="4508" w:type="dxa"/>
          </w:tcPr>
          <w:p w14:paraId="05B97200" w14:textId="77777777" w:rsidR="00FA1855" w:rsidRPr="004274AD" w:rsidRDefault="00162F2E" w:rsidP="00704341">
            <w:pPr>
              <w:spacing w:after="0"/>
              <w:jc w:val="center"/>
              <w:rPr>
                <w:rFonts w:cs="Arial"/>
                <w:color w:val="auto"/>
              </w:rPr>
            </w:pPr>
            <w:r w:rsidRPr="004274AD">
              <w:rPr>
                <w:rFonts w:cs="Arial"/>
                <w:color w:val="auto"/>
              </w:rPr>
              <w:t>41</w:t>
            </w:r>
          </w:p>
        </w:tc>
      </w:tr>
      <w:tr w:rsidR="006E5B54" w14:paraId="1D5DC920" w14:textId="77777777" w:rsidTr="00704341">
        <w:tc>
          <w:tcPr>
            <w:tcW w:w="4508" w:type="dxa"/>
          </w:tcPr>
          <w:p w14:paraId="47A25C87" w14:textId="77777777" w:rsidR="00FA1855" w:rsidRPr="004274AD" w:rsidRDefault="00162F2E" w:rsidP="00704341">
            <w:pPr>
              <w:spacing w:after="0"/>
              <w:jc w:val="center"/>
              <w:rPr>
                <w:rFonts w:cs="Arial"/>
                <w:color w:val="auto"/>
              </w:rPr>
            </w:pPr>
            <w:r w:rsidRPr="004274AD">
              <w:rPr>
                <w:rFonts w:cs="Arial"/>
                <w:color w:val="auto"/>
              </w:rPr>
              <w:t>31 March 2019</w:t>
            </w:r>
          </w:p>
        </w:tc>
        <w:tc>
          <w:tcPr>
            <w:tcW w:w="4508" w:type="dxa"/>
          </w:tcPr>
          <w:p w14:paraId="3AC47232" w14:textId="77777777" w:rsidR="00FA1855" w:rsidRPr="004274AD" w:rsidRDefault="00162F2E" w:rsidP="00704341">
            <w:pPr>
              <w:spacing w:after="0"/>
              <w:jc w:val="center"/>
              <w:rPr>
                <w:rFonts w:cs="Arial"/>
                <w:color w:val="auto"/>
              </w:rPr>
            </w:pPr>
            <w:r w:rsidRPr="004274AD">
              <w:rPr>
                <w:rFonts w:cs="Arial"/>
                <w:color w:val="auto"/>
              </w:rPr>
              <w:t>39</w:t>
            </w:r>
          </w:p>
        </w:tc>
      </w:tr>
      <w:tr w:rsidR="006E5B54" w14:paraId="54B790E2" w14:textId="77777777" w:rsidTr="00704341">
        <w:tc>
          <w:tcPr>
            <w:tcW w:w="4508" w:type="dxa"/>
          </w:tcPr>
          <w:p w14:paraId="31F985C0" w14:textId="77777777" w:rsidR="00FA1855" w:rsidRPr="004274AD" w:rsidRDefault="00162F2E" w:rsidP="00704341">
            <w:pPr>
              <w:spacing w:after="0"/>
              <w:jc w:val="center"/>
              <w:rPr>
                <w:rFonts w:cs="Arial"/>
                <w:color w:val="auto"/>
              </w:rPr>
            </w:pPr>
            <w:r w:rsidRPr="004274AD">
              <w:rPr>
                <w:rFonts w:cs="Arial"/>
                <w:color w:val="auto"/>
              </w:rPr>
              <w:t>31 March 2018</w:t>
            </w:r>
          </w:p>
        </w:tc>
        <w:tc>
          <w:tcPr>
            <w:tcW w:w="4508" w:type="dxa"/>
          </w:tcPr>
          <w:p w14:paraId="4C8CE846" w14:textId="77777777" w:rsidR="00FA1855" w:rsidRPr="004274AD" w:rsidRDefault="00162F2E" w:rsidP="00704341">
            <w:pPr>
              <w:spacing w:after="0"/>
              <w:jc w:val="center"/>
              <w:rPr>
                <w:rFonts w:cs="Arial"/>
                <w:color w:val="auto"/>
              </w:rPr>
            </w:pPr>
            <w:r w:rsidRPr="004274AD">
              <w:rPr>
                <w:rFonts w:cs="Arial"/>
                <w:color w:val="auto"/>
              </w:rPr>
              <w:t>47</w:t>
            </w:r>
          </w:p>
        </w:tc>
      </w:tr>
      <w:tr w:rsidR="006E5B54" w14:paraId="7AD41903" w14:textId="77777777" w:rsidTr="00704341">
        <w:tc>
          <w:tcPr>
            <w:tcW w:w="4508" w:type="dxa"/>
          </w:tcPr>
          <w:p w14:paraId="213E0492" w14:textId="77777777" w:rsidR="00FA1855" w:rsidRPr="004274AD" w:rsidRDefault="00162F2E" w:rsidP="00704341">
            <w:pPr>
              <w:spacing w:after="0"/>
              <w:jc w:val="center"/>
              <w:rPr>
                <w:rFonts w:cs="Arial"/>
                <w:color w:val="auto"/>
              </w:rPr>
            </w:pPr>
            <w:r w:rsidRPr="004274AD">
              <w:rPr>
                <w:rFonts w:cs="Arial"/>
                <w:color w:val="auto"/>
              </w:rPr>
              <w:t>31 March 2017</w:t>
            </w:r>
          </w:p>
        </w:tc>
        <w:tc>
          <w:tcPr>
            <w:tcW w:w="4508" w:type="dxa"/>
          </w:tcPr>
          <w:p w14:paraId="6342200A" w14:textId="77777777" w:rsidR="00FA1855" w:rsidRPr="004274AD" w:rsidRDefault="00162F2E" w:rsidP="00704341">
            <w:pPr>
              <w:spacing w:after="0"/>
              <w:jc w:val="center"/>
              <w:rPr>
                <w:rFonts w:cs="Arial"/>
                <w:color w:val="auto"/>
              </w:rPr>
            </w:pPr>
            <w:r w:rsidRPr="004274AD">
              <w:rPr>
                <w:rFonts w:cs="Arial"/>
                <w:color w:val="auto"/>
              </w:rPr>
              <w:t>40</w:t>
            </w:r>
          </w:p>
        </w:tc>
      </w:tr>
      <w:tr w:rsidR="006E5B54" w14:paraId="0E756834" w14:textId="77777777" w:rsidTr="00704341">
        <w:tc>
          <w:tcPr>
            <w:tcW w:w="4508" w:type="dxa"/>
          </w:tcPr>
          <w:p w14:paraId="35D0922F" w14:textId="77777777" w:rsidR="00FA1855" w:rsidRPr="004274AD" w:rsidRDefault="00162F2E" w:rsidP="00704341">
            <w:pPr>
              <w:spacing w:after="0"/>
              <w:jc w:val="center"/>
              <w:rPr>
                <w:rFonts w:cs="Arial"/>
                <w:color w:val="auto"/>
              </w:rPr>
            </w:pPr>
            <w:r w:rsidRPr="004274AD">
              <w:rPr>
                <w:rFonts w:cs="Arial"/>
                <w:color w:val="auto"/>
              </w:rPr>
              <w:t>31 March 2016</w:t>
            </w:r>
          </w:p>
        </w:tc>
        <w:tc>
          <w:tcPr>
            <w:tcW w:w="4508" w:type="dxa"/>
          </w:tcPr>
          <w:p w14:paraId="1D84E5ED" w14:textId="77777777" w:rsidR="00FA1855" w:rsidRPr="004274AD" w:rsidRDefault="00162F2E" w:rsidP="00704341">
            <w:pPr>
              <w:spacing w:after="0"/>
              <w:jc w:val="center"/>
              <w:rPr>
                <w:rFonts w:cs="Arial"/>
                <w:color w:val="auto"/>
              </w:rPr>
            </w:pPr>
            <w:r w:rsidRPr="004274AD">
              <w:rPr>
                <w:rFonts w:cs="Arial"/>
                <w:color w:val="auto"/>
              </w:rPr>
              <w:t>25</w:t>
            </w:r>
          </w:p>
        </w:tc>
      </w:tr>
      <w:tr w:rsidR="006E5B54" w14:paraId="5CD68D75" w14:textId="77777777" w:rsidTr="00704341">
        <w:tc>
          <w:tcPr>
            <w:tcW w:w="4508" w:type="dxa"/>
          </w:tcPr>
          <w:p w14:paraId="492B41B8" w14:textId="77777777" w:rsidR="00FA1855" w:rsidRPr="004274AD" w:rsidRDefault="00162F2E" w:rsidP="00704341">
            <w:pPr>
              <w:spacing w:after="0"/>
              <w:jc w:val="center"/>
              <w:rPr>
                <w:rFonts w:cs="Arial"/>
                <w:color w:val="auto"/>
              </w:rPr>
            </w:pPr>
            <w:r w:rsidRPr="004274AD">
              <w:rPr>
                <w:rFonts w:cs="Arial"/>
                <w:color w:val="auto"/>
              </w:rPr>
              <w:t>31 March 2015</w:t>
            </w:r>
          </w:p>
        </w:tc>
        <w:tc>
          <w:tcPr>
            <w:tcW w:w="4508" w:type="dxa"/>
          </w:tcPr>
          <w:p w14:paraId="1B851DD7" w14:textId="77777777" w:rsidR="00FA1855" w:rsidRPr="004274AD" w:rsidRDefault="00162F2E" w:rsidP="00704341">
            <w:pPr>
              <w:spacing w:after="0"/>
              <w:jc w:val="center"/>
              <w:rPr>
                <w:rFonts w:cs="Arial"/>
                <w:color w:val="auto"/>
              </w:rPr>
            </w:pPr>
            <w:r w:rsidRPr="004274AD">
              <w:rPr>
                <w:rFonts w:cs="Arial"/>
                <w:color w:val="auto"/>
              </w:rPr>
              <w:t>18</w:t>
            </w:r>
          </w:p>
        </w:tc>
      </w:tr>
    </w:tbl>
    <w:p w14:paraId="2DFD9EDE" w14:textId="77777777" w:rsidR="00FA1855" w:rsidRPr="004274AD" w:rsidRDefault="00FA1855" w:rsidP="00FA1855">
      <w:pPr>
        <w:spacing w:after="0"/>
        <w:rPr>
          <w:rFonts w:cs="Arial"/>
          <w:color w:val="auto"/>
        </w:rPr>
      </w:pPr>
    </w:p>
    <w:p w14:paraId="75C46A8F" w14:textId="77777777" w:rsidR="00FA1855" w:rsidRDefault="00162F2E" w:rsidP="00FA1855">
      <w:pPr>
        <w:spacing w:after="0"/>
        <w:rPr>
          <w:rFonts w:cs="Arial"/>
          <w:color w:val="auto"/>
        </w:rPr>
      </w:pPr>
      <w:r w:rsidRPr="004274AD">
        <w:rPr>
          <w:rFonts w:cs="Arial"/>
          <w:color w:val="auto"/>
        </w:rPr>
        <w:t>The number of schools in deficit at year end is at its lowest level since March 201</w:t>
      </w:r>
      <w:r>
        <w:rPr>
          <w:rFonts w:cs="Arial"/>
          <w:color w:val="auto"/>
        </w:rPr>
        <w:t>5</w:t>
      </w:r>
      <w:r w:rsidRPr="004274AD">
        <w:rPr>
          <w:rFonts w:cs="Arial"/>
          <w:color w:val="auto"/>
        </w:rPr>
        <w:t>.  However, the 202</w:t>
      </w:r>
      <w:r>
        <w:rPr>
          <w:rFonts w:cs="Arial"/>
          <w:color w:val="auto"/>
        </w:rPr>
        <w:t>2</w:t>
      </w:r>
      <w:r w:rsidRPr="004274AD">
        <w:rPr>
          <w:rFonts w:cs="Arial"/>
          <w:color w:val="auto"/>
        </w:rPr>
        <w:t xml:space="preserve"> figure may be artificially low, as </w:t>
      </w:r>
      <w:r>
        <w:rPr>
          <w:rFonts w:cs="Arial"/>
          <w:color w:val="auto"/>
        </w:rPr>
        <w:t>some</w:t>
      </w:r>
      <w:r w:rsidRPr="004274AD">
        <w:rPr>
          <w:rFonts w:cs="Arial"/>
          <w:color w:val="auto"/>
        </w:rPr>
        <w:t xml:space="preserve"> schools </w:t>
      </w:r>
      <w:r>
        <w:rPr>
          <w:rFonts w:cs="Arial"/>
          <w:color w:val="auto"/>
        </w:rPr>
        <w:t>may</w:t>
      </w:r>
      <w:r w:rsidRPr="004274AD">
        <w:rPr>
          <w:rFonts w:cs="Arial"/>
          <w:color w:val="auto"/>
        </w:rPr>
        <w:t xml:space="preserve"> have </w:t>
      </w:r>
      <w:r>
        <w:rPr>
          <w:rFonts w:cs="Arial"/>
          <w:color w:val="auto"/>
        </w:rPr>
        <w:t xml:space="preserve">high levels of grant funding in their year end balances, due to unspent funding such as Covid related catch-up grants.  </w:t>
      </w:r>
    </w:p>
    <w:p w14:paraId="67CFAE13" w14:textId="209E1EB2" w:rsidR="00FA1855" w:rsidRDefault="00FA1855" w:rsidP="00FA1855">
      <w:pPr>
        <w:spacing w:after="0"/>
        <w:rPr>
          <w:rFonts w:cs="Arial"/>
          <w:bCs/>
          <w:color w:val="auto"/>
        </w:rPr>
      </w:pPr>
    </w:p>
    <w:p w14:paraId="6D0C5FFD" w14:textId="0ECB5823" w:rsidR="00642D26" w:rsidRDefault="00642D26" w:rsidP="00FA1855">
      <w:pPr>
        <w:spacing w:after="0"/>
        <w:rPr>
          <w:rFonts w:cs="Arial"/>
          <w:bCs/>
          <w:color w:val="auto"/>
        </w:rPr>
      </w:pPr>
    </w:p>
    <w:p w14:paraId="2A00E77F" w14:textId="7FBDB020" w:rsidR="00642D26" w:rsidRDefault="00642D26" w:rsidP="00FA1855">
      <w:pPr>
        <w:spacing w:after="0"/>
        <w:rPr>
          <w:rFonts w:cs="Arial"/>
          <w:bCs/>
          <w:color w:val="auto"/>
        </w:rPr>
      </w:pPr>
    </w:p>
    <w:p w14:paraId="2B1AB649" w14:textId="3ACFCF55" w:rsidR="00642D26" w:rsidRDefault="00642D26" w:rsidP="00FA1855">
      <w:pPr>
        <w:spacing w:after="0"/>
        <w:rPr>
          <w:rFonts w:cs="Arial"/>
          <w:bCs/>
          <w:color w:val="auto"/>
        </w:rPr>
      </w:pPr>
    </w:p>
    <w:p w14:paraId="5151CE4A" w14:textId="4A63C1A0" w:rsidR="00642D26" w:rsidRDefault="00642D26" w:rsidP="00FA1855">
      <w:pPr>
        <w:spacing w:after="0"/>
        <w:rPr>
          <w:rFonts w:cs="Arial"/>
          <w:bCs/>
          <w:color w:val="auto"/>
        </w:rPr>
      </w:pPr>
    </w:p>
    <w:p w14:paraId="700801AC" w14:textId="77777777" w:rsidR="00642D26" w:rsidRPr="003F6BFA" w:rsidRDefault="00642D26" w:rsidP="00FA1855">
      <w:pPr>
        <w:spacing w:after="0"/>
        <w:rPr>
          <w:rFonts w:cs="Arial"/>
          <w:bCs/>
          <w:color w:val="auto"/>
        </w:rPr>
      </w:pPr>
    </w:p>
    <w:p w14:paraId="2555FB1A" w14:textId="77777777" w:rsidR="00FA1855" w:rsidRPr="004274AD" w:rsidRDefault="00162F2E" w:rsidP="00FA1855">
      <w:pPr>
        <w:spacing w:after="0"/>
        <w:rPr>
          <w:rFonts w:cs="Arial"/>
          <w:b/>
          <w:color w:val="auto"/>
        </w:rPr>
      </w:pPr>
      <w:r w:rsidRPr="004274AD">
        <w:rPr>
          <w:rFonts w:cs="Arial"/>
          <w:b/>
          <w:color w:val="auto"/>
        </w:rPr>
        <w:lastRenderedPageBreak/>
        <w:t>Aggregate School Balances by Year</w:t>
      </w:r>
    </w:p>
    <w:p w14:paraId="6E8ED302" w14:textId="77777777" w:rsidR="00FA1855" w:rsidRPr="004274AD" w:rsidRDefault="00FA1855" w:rsidP="00FA1855">
      <w:pPr>
        <w:spacing w:after="0"/>
        <w:rPr>
          <w:rFonts w:cs="Arial"/>
          <w:color w:val="auto"/>
        </w:rPr>
      </w:pPr>
    </w:p>
    <w:p w14:paraId="7841E743" w14:textId="77777777" w:rsidR="00FA1855" w:rsidRPr="004274AD" w:rsidRDefault="00162F2E" w:rsidP="00FA1855">
      <w:pPr>
        <w:spacing w:after="0"/>
        <w:rPr>
          <w:rFonts w:cs="Arial"/>
          <w:color w:val="auto"/>
        </w:rPr>
      </w:pPr>
      <w:r>
        <w:rPr>
          <w:noProof/>
        </w:rPr>
        <w:drawing>
          <wp:inline distT="0" distB="0" distL="0" distR="0" wp14:anchorId="5A5C85F8" wp14:editId="2A8C6DD0">
            <wp:extent cx="5791200" cy="3023870"/>
            <wp:effectExtent l="0" t="0" r="0" b="5080"/>
            <wp:docPr id="6" name="Chart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51F924" w14:textId="77777777" w:rsidR="00FA1855" w:rsidRDefault="00FA1855" w:rsidP="00FA1855">
      <w:pPr>
        <w:spacing w:after="0"/>
        <w:rPr>
          <w:rFonts w:cs="Arial"/>
          <w:color w:val="auto"/>
        </w:rPr>
      </w:pPr>
    </w:p>
    <w:p w14:paraId="4ACFA109" w14:textId="77777777" w:rsidR="00FA1855" w:rsidRPr="004274AD" w:rsidRDefault="00162F2E" w:rsidP="00FA1855">
      <w:pPr>
        <w:spacing w:after="0"/>
        <w:rPr>
          <w:rFonts w:cs="Arial"/>
          <w:color w:val="auto"/>
        </w:rPr>
      </w:pPr>
      <w:r w:rsidRPr="004274AD">
        <w:rPr>
          <w:rFonts w:cs="Arial"/>
          <w:color w:val="auto"/>
        </w:rPr>
        <w:t xml:space="preserve">The graph demonstrates the trend in aggregate school balances over </w:t>
      </w:r>
      <w:r>
        <w:rPr>
          <w:rFonts w:cs="Arial"/>
          <w:color w:val="auto"/>
        </w:rPr>
        <w:t>a number of</w:t>
      </w:r>
      <w:r w:rsidRPr="004274AD">
        <w:rPr>
          <w:rFonts w:cs="Arial"/>
          <w:color w:val="auto"/>
        </w:rPr>
        <w:t xml:space="preserve"> years and shows </w:t>
      </w:r>
      <w:r>
        <w:rPr>
          <w:rFonts w:cs="Arial"/>
          <w:color w:val="auto"/>
        </w:rPr>
        <w:t xml:space="preserve">that following </w:t>
      </w:r>
      <w:r w:rsidRPr="004274AD">
        <w:rPr>
          <w:rFonts w:cs="Arial"/>
          <w:color w:val="auto"/>
        </w:rPr>
        <w:t xml:space="preserve">the significant rise in the balances held by schools </w:t>
      </w:r>
      <w:bookmarkStart w:id="7" w:name="_Int_ePBVWMVM"/>
      <w:r w:rsidRPr="004274AD">
        <w:rPr>
          <w:rFonts w:cs="Arial"/>
          <w:color w:val="auto"/>
        </w:rPr>
        <w:t>at</w:t>
      </w:r>
      <w:bookmarkEnd w:id="7"/>
      <w:r w:rsidRPr="004274AD">
        <w:rPr>
          <w:rFonts w:cs="Arial"/>
          <w:color w:val="auto"/>
        </w:rPr>
        <w:t xml:space="preserve"> March 2021, </w:t>
      </w:r>
      <w:r>
        <w:rPr>
          <w:rFonts w:cs="Arial"/>
          <w:color w:val="auto"/>
        </w:rPr>
        <w:t xml:space="preserve">school balances have increased further </w:t>
      </w:r>
      <w:bookmarkStart w:id="8" w:name="_Int_TlLiodAA"/>
      <w:r>
        <w:rPr>
          <w:rFonts w:cs="Arial"/>
          <w:color w:val="auto"/>
        </w:rPr>
        <w:t>at</w:t>
      </w:r>
      <w:bookmarkEnd w:id="8"/>
      <w:r>
        <w:rPr>
          <w:rFonts w:cs="Arial"/>
          <w:color w:val="auto"/>
        </w:rPr>
        <w:t xml:space="preserve"> March 2022, but at a much</w:t>
      </w:r>
      <w:r w:rsidR="00D06CF0">
        <w:rPr>
          <w:rFonts w:cs="Arial"/>
          <w:color w:val="auto"/>
        </w:rPr>
        <w:t>-</w:t>
      </w:r>
      <w:r>
        <w:rPr>
          <w:rFonts w:cs="Arial"/>
          <w:color w:val="auto"/>
        </w:rPr>
        <w:t xml:space="preserve">reduced </w:t>
      </w:r>
      <w:r w:rsidRPr="00BF0B9E">
        <w:rPr>
          <w:rFonts w:cs="Arial"/>
          <w:color w:val="auto"/>
        </w:rPr>
        <w:t>rate.  Balances at the end of 2021/22 are at £95.325m</w:t>
      </w:r>
      <w:r>
        <w:rPr>
          <w:rFonts w:cs="Arial"/>
          <w:color w:val="auto"/>
        </w:rPr>
        <w:t>, however, a</w:t>
      </w:r>
      <w:r w:rsidRPr="004274AD">
        <w:rPr>
          <w:rFonts w:cs="Arial"/>
          <w:color w:val="auto"/>
        </w:rPr>
        <w:t xml:space="preserve">s </w:t>
      </w:r>
      <w:r>
        <w:rPr>
          <w:rFonts w:cs="Arial"/>
          <w:color w:val="auto"/>
        </w:rPr>
        <w:t>noted above</w:t>
      </w:r>
      <w:r w:rsidRPr="004274AD">
        <w:rPr>
          <w:rFonts w:cs="Arial"/>
          <w:color w:val="auto"/>
        </w:rPr>
        <w:t xml:space="preserve">, there </w:t>
      </w:r>
      <w:r>
        <w:rPr>
          <w:rFonts w:cs="Arial"/>
          <w:color w:val="auto"/>
        </w:rPr>
        <w:t>may be</w:t>
      </w:r>
      <w:r w:rsidRPr="004274AD">
        <w:rPr>
          <w:rFonts w:cs="Arial"/>
          <w:color w:val="auto"/>
        </w:rPr>
        <w:t xml:space="preserve"> covid related reasons </w:t>
      </w:r>
      <w:r>
        <w:rPr>
          <w:rFonts w:cs="Arial"/>
          <w:color w:val="auto"/>
        </w:rPr>
        <w:t>contributing to this</w:t>
      </w:r>
      <w:r w:rsidRPr="004274AD">
        <w:rPr>
          <w:rFonts w:cs="Arial"/>
          <w:color w:val="auto"/>
        </w:rPr>
        <w:t xml:space="preserve"> year</w:t>
      </w:r>
      <w:r w:rsidR="00D06CF0" w:rsidRPr="004274AD">
        <w:rPr>
          <w:rFonts w:cs="Arial"/>
          <w:color w:val="auto"/>
        </w:rPr>
        <w:t>-</w:t>
      </w:r>
      <w:r w:rsidRPr="004274AD">
        <w:rPr>
          <w:rFonts w:cs="Arial"/>
          <w:color w:val="auto"/>
        </w:rPr>
        <w:t>end position.</w:t>
      </w:r>
      <w:r>
        <w:rPr>
          <w:rFonts w:cs="Arial"/>
          <w:color w:val="auto"/>
        </w:rPr>
        <w:t xml:space="preserve">  Analysis provided by schools about their year</w:t>
      </w:r>
      <w:r w:rsidR="00D06CF0">
        <w:rPr>
          <w:rFonts w:cs="Arial"/>
          <w:color w:val="auto"/>
        </w:rPr>
        <w:t>-</w:t>
      </w:r>
      <w:r>
        <w:rPr>
          <w:rFonts w:cs="Arial"/>
          <w:color w:val="auto"/>
        </w:rPr>
        <w:t xml:space="preserve">end position </w:t>
      </w:r>
      <w:bookmarkStart w:id="9" w:name="_Int_IIdmwBRH"/>
      <w:r>
        <w:rPr>
          <w:rFonts w:cs="Arial"/>
          <w:color w:val="auto"/>
        </w:rPr>
        <w:t>at</w:t>
      </w:r>
      <w:bookmarkEnd w:id="9"/>
      <w:r>
        <w:rPr>
          <w:rFonts w:cs="Arial"/>
          <w:color w:val="auto"/>
        </w:rPr>
        <w:t xml:space="preserve"> 31 March 2022 indicates that over £26m of total balances are classed as 'committed'.</w:t>
      </w:r>
    </w:p>
    <w:p w14:paraId="1A61B0A3" w14:textId="77777777" w:rsidR="00FA1855" w:rsidRPr="004274AD" w:rsidRDefault="00FA1855" w:rsidP="00FA1855">
      <w:pPr>
        <w:spacing w:after="0"/>
        <w:rPr>
          <w:rFonts w:cs="Arial"/>
          <w:color w:val="auto"/>
        </w:rPr>
      </w:pPr>
    </w:p>
    <w:p w14:paraId="30C212F1" w14:textId="77777777" w:rsidR="00FA1855" w:rsidRPr="004274AD" w:rsidRDefault="00162F2E" w:rsidP="00FA1855">
      <w:pPr>
        <w:spacing w:after="0"/>
        <w:rPr>
          <w:rFonts w:cs="Arial"/>
          <w:color w:val="auto"/>
        </w:rPr>
      </w:pPr>
      <w:r w:rsidRPr="004274AD">
        <w:rPr>
          <w:rFonts w:cs="Arial"/>
          <w:color w:val="auto"/>
        </w:rPr>
        <w:t>To provide context for the total school balances, the current authority guideline for schools is to have reserves equating to 12% of their total Combined Financial Reporting (CFR) income or a minimum of £60,000. This is to ensure that individual schools can withstand potential financial risks and financial stresses.  If all Lancashire schools held the guideline balance, the total balance would have been circa £10</w:t>
      </w:r>
      <w:r>
        <w:rPr>
          <w:rFonts w:cs="Arial"/>
          <w:color w:val="auto"/>
        </w:rPr>
        <w:t>6</w:t>
      </w:r>
      <w:r w:rsidRPr="004274AD">
        <w:rPr>
          <w:rFonts w:cs="Arial"/>
          <w:color w:val="auto"/>
        </w:rPr>
        <w:t>m, compared to the actual balances held of circa £9</w:t>
      </w:r>
      <w:r>
        <w:rPr>
          <w:rFonts w:cs="Arial"/>
          <w:color w:val="auto"/>
        </w:rPr>
        <w:t>5</w:t>
      </w:r>
      <w:r w:rsidRPr="004274AD">
        <w:rPr>
          <w:rFonts w:cs="Arial"/>
          <w:color w:val="auto"/>
        </w:rPr>
        <w:t xml:space="preserve">m.  </w:t>
      </w:r>
    </w:p>
    <w:p w14:paraId="205D6418" w14:textId="77777777" w:rsidR="00FA1855" w:rsidRPr="004274AD" w:rsidRDefault="00FA1855" w:rsidP="00FA1855">
      <w:pPr>
        <w:spacing w:after="0"/>
        <w:rPr>
          <w:rFonts w:eastAsiaTheme="minorHAnsi" w:cs="Arial"/>
          <w:color w:val="auto"/>
        </w:rPr>
      </w:pPr>
    </w:p>
    <w:p w14:paraId="39D5BD91" w14:textId="77777777" w:rsidR="00FA1855" w:rsidRPr="004274AD" w:rsidRDefault="00162F2E" w:rsidP="00FA1855">
      <w:pPr>
        <w:spacing w:after="0"/>
        <w:rPr>
          <w:rFonts w:cs="Arial"/>
          <w:b/>
          <w:color w:val="auto"/>
        </w:rPr>
      </w:pPr>
      <w:r w:rsidRPr="004274AD">
        <w:rPr>
          <w:rFonts w:cs="Arial"/>
          <w:b/>
          <w:color w:val="auto"/>
        </w:rPr>
        <w:t>Support for Schools in Deficit</w:t>
      </w:r>
    </w:p>
    <w:p w14:paraId="57D63D24" w14:textId="77777777" w:rsidR="00FA1855" w:rsidRDefault="00162F2E" w:rsidP="00FA1855">
      <w:pPr>
        <w:spacing w:after="0"/>
        <w:rPr>
          <w:color w:val="auto"/>
        </w:rPr>
      </w:pPr>
      <w:r>
        <w:rPr>
          <w:rFonts w:cs="Arial"/>
          <w:color w:val="auto"/>
        </w:rPr>
        <w:t>T</w:t>
      </w:r>
      <w:r w:rsidRPr="004274AD">
        <w:rPr>
          <w:rFonts w:cs="Arial"/>
          <w:color w:val="auto"/>
        </w:rPr>
        <w:t>he county council</w:t>
      </w:r>
      <w:r>
        <w:rPr>
          <w:rFonts w:cs="Arial"/>
          <w:color w:val="auto"/>
        </w:rPr>
        <w:t xml:space="preserve">, in consultation with the Lancashire Schools Forum, </w:t>
      </w:r>
      <w:r w:rsidRPr="004274AD">
        <w:rPr>
          <w:rFonts w:cs="Arial"/>
          <w:color w:val="auto"/>
        </w:rPr>
        <w:t xml:space="preserve">has continued to provide significant targeted support and enhanced monitoring and early warning </w:t>
      </w:r>
      <w:r w:rsidRPr="009E08F1">
        <w:rPr>
          <w:color w:val="auto"/>
        </w:rPr>
        <w:t xml:space="preserve">to support schools that are in, or may be heading towards, financial difficulty.  This includes monitoring the financial outlook of schools on the Schools in Financial Difficulty </w:t>
      </w:r>
      <w:r>
        <w:rPr>
          <w:color w:val="auto"/>
        </w:rPr>
        <w:t xml:space="preserve">(SIFD) </w:t>
      </w:r>
      <w:r w:rsidRPr="009E08F1">
        <w:rPr>
          <w:color w:val="auto"/>
        </w:rPr>
        <w:t xml:space="preserve">category warning system for maintained schools, issuing early warning letters to offer a 'heads-up' that financial pressures may be mounting and using the agreed SIFD procedures to provide additional support to some schools.  </w:t>
      </w:r>
    </w:p>
    <w:p w14:paraId="50F46345" w14:textId="77777777" w:rsidR="00FA1855" w:rsidRDefault="00FA1855" w:rsidP="00FA1855">
      <w:pPr>
        <w:spacing w:after="0"/>
        <w:rPr>
          <w:color w:val="auto"/>
        </w:rPr>
      </w:pPr>
    </w:p>
    <w:p w14:paraId="4A913C10" w14:textId="77777777" w:rsidR="00FA1855" w:rsidRDefault="00162F2E" w:rsidP="00FA1855">
      <w:pPr>
        <w:pStyle w:val="Default"/>
        <w:jc w:val="both"/>
        <w:rPr>
          <w:color w:val="auto"/>
        </w:rPr>
      </w:pPr>
      <w:r>
        <w:rPr>
          <w:color w:val="auto"/>
        </w:rPr>
        <w:t>21</w:t>
      </w:r>
      <w:r w:rsidRPr="004F2082">
        <w:rPr>
          <w:color w:val="auto"/>
        </w:rPr>
        <w:t xml:space="preserve"> schools ended the </w:t>
      </w:r>
      <w:r>
        <w:rPr>
          <w:color w:val="auto"/>
        </w:rPr>
        <w:t>2021/22</w:t>
      </w:r>
      <w:r w:rsidRPr="004F2082">
        <w:rPr>
          <w:color w:val="auto"/>
        </w:rPr>
        <w:t xml:space="preserve"> financial year in deficit</w:t>
      </w:r>
      <w:r>
        <w:rPr>
          <w:color w:val="auto"/>
        </w:rPr>
        <w:t xml:space="preserve">, </w:t>
      </w:r>
      <w:r w:rsidRPr="004F2082">
        <w:rPr>
          <w:color w:val="auto"/>
        </w:rPr>
        <w:t xml:space="preserve">compared to </w:t>
      </w:r>
      <w:r>
        <w:rPr>
          <w:color w:val="auto"/>
        </w:rPr>
        <w:t>30</w:t>
      </w:r>
      <w:r w:rsidRPr="004F2082">
        <w:rPr>
          <w:color w:val="auto"/>
        </w:rPr>
        <w:t xml:space="preserve"> schools a year earlier</w:t>
      </w:r>
      <w:r>
        <w:rPr>
          <w:color w:val="auto"/>
        </w:rPr>
        <w:t xml:space="preserve">, as a number of schools returned to surplus during the year through the delivery of budget recovery plans.  </w:t>
      </w:r>
    </w:p>
    <w:p w14:paraId="40B9FE2A" w14:textId="77777777" w:rsidR="00FA1855" w:rsidRDefault="00FA1855" w:rsidP="00FA1855">
      <w:pPr>
        <w:pStyle w:val="Default"/>
        <w:jc w:val="both"/>
        <w:rPr>
          <w:color w:val="auto"/>
        </w:rPr>
      </w:pPr>
    </w:p>
    <w:p w14:paraId="3A586E9E" w14:textId="77777777" w:rsidR="00FA1855" w:rsidRPr="006802C0" w:rsidRDefault="00162F2E" w:rsidP="00FA1855">
      <w:pPr>
        <w:spacing w:after="0"/>
        <w:rPr>
          <w:color w:val="auto"/>
        </w:rPr>
      </w:pPr>
      <w:r>
        <w:rPr>
          <w:color w:val="auto"/>
        </w:rPr>
        <w:t xml:space="preserve">During the year, an amendment to the </w:t>
      </w:r>
      <w:r w:rsidRPr="006802C0">
        <w:rPr>
          <w:color w:val="auto"/>
        </w:rPr>
        <w:t xml:space="preserve">SIFD support criteria </w:t>
      </w:r>
      <w:r>
        <w:rPr>
          <w:color w:val="auto"/>
        </w:rPr>
        <w:t xml:space="preserve">was introduced </w:t>
      </w:r>
      <w:r w:rsidRPr="006802C0">
        <w:rPr>
          <w:color w:val="auto"/>
        </w:rPr>
        <w:t xml:space="preserve">to allow interest charges and provision of school finance support will be met </w:t>
      </w:r>
      <w:r w:rsidRPr="006802C0">
        <w:rPr>
          <w:color w:val="auto"/>
        </w:rPr>
        <w:lastRenderedPageBreak/>
        <w:t xml:space="preserve">centrally from SIFD funding for schools with an agreed recovery plan, or an agreed sustainability plan. </w:t>
      </w:r>
    </w:p>
    <w:p w14:paraId="6D9889AC" w14:textId="77777777" w:rsidR="00FA1855" w:rsidRPr="009E08F1" w:rsidRDefault="00FA1855" w:rsidP="00FA1855">
      <w:pPr>
        <w:pStyle w:val="Default"/>
        <w:jc w:val="both"/>
        <w:rPr>
          <w:color w:val="auto"/>
        </w:rPr>
      </w:pPr>
    </w:p>
    <w:p w14:paraId="0FE6895E" w14:textId="77777777" w:rsidR="00FA1855" w:rsidRPr="004274AD" w:rsidRDefault="00162F2E" w:rsidP="00FA1855">
      <w:pPr>
        <w:spacing w:after="0"/>
        <w:rPr>
          <w:rFonts w:cs="Arial"/>
          <w:color w:val="auto"/>
        </w:rPr>
      </w:pPr>
      <w:r>
        <w:rPr>
          <w:color w:val="auto"/>
        </w:rPr>
        <w:t>A</w:t>
      </w:r>
      <w:r w:rsidRPr="006802C0">
        <w:rPr>
          <w:color w:val="auto"/>
        </w:rPr>
        <w:t xml:space="preserve"> one-off SIFD allocation to a Lancashire school</w:t>
      </w:r>
      <w:r>
        <w:rPr>
          <w:color w:val="auto"/>
        </w:rPr>
        <w:t xml:space="preserve"> was also agreed</w:t>
      </w:r>
      <w:r w:rsidRPr="006802C0">
        <w:rPr>
          <w:color w:val="auto"/>
        </w:rPr>
        <w:t>, to assist with the financial recovery plan</w:t>
      </w:r>
      <w:r>
        <w:rPr>
          <w:color w:val="auto"/>
        </w:rPr>
        <w:t>.</w:t>
      </w:r>
    </w:p>
    <w:p w14:paraId="1A30949F" w14:textId="77777777" w:rsidR="00FA1855" w:rsidRPr="00D07D97" w:rsidRDefault="00FA1855" w:rsidP="00FA1855">
      <w:pPr>
        <w:spacing w:after="0"/>
        <w:rPr>
          <w:rFonts w:cs="Arial"/>
          <w:bCs/>
          <w:color w:val="auto"/>
        </w:rPr>
      </w:pPr>
    </w:p>
    <w:p w14:paraId="54C25773" w14:textId="77777777" w:rsidR="00FA1855" w:rsidRPr="004274AD" w:rsidRDefault="00162F2E" w:rsidP="00FA1855">
      <w:pPr>
        <w:spacing w:after="0"/>
        <w:rPr>
          <w:rFonts w:cs="Arial"/>
          <w:b/>
          <w:color w:val="auto"/>
        </w:rPr>
      </w:pPr>
      <w:r w:rsidRPr="004274AD">
        <w:rPr>
          <w:rFonts w:cs="Arial"/>
          <w:b/>
          <w:color w:val="auto"/>
        </w:rPr>
        <w:t>Schools Reserves**</w:t>
      </w:r>
    </w:p>
    <w:p w14:paraId="3EA1BFC1" w14:textId="77777777" w:rsidR="00FA1855" w:rsidRPr="004274AD" w:rsidRDefault="00FA1855" w:rsidP="00FA1855">
      <w:pPr>
        <w:spacing w:after="0"/>
        <w:rPr>
          <w:rFonts w:cs="Arial"/>
          <w:b/>
          <w:color w:val="auto"/>
        </w:rPr>
      </w:pPr>
    </w:p>
    <w:tbl>
      <w:tblPr>
        <w:tblW w:w="8926" w:type="dxa"/>
        <w:tblLayout w:type="fixed"/>
        <w:tblLook w:val="04A0" w:firstRow="1" w:lastRow="0" w:firstColumn="1" w:lastColumn="0" w:noHBand="0" w:noVBand="1"/>
      </w:tblPr>
      <w:tblGrid>
        <w:gridCol w:w="2231"/>
        <w:gridCol w:w="2232"/>
        <w:gridCol w:w="2231"/>
        <w:gridCol w:w="2232"/>
      </w:tblGrid>
      <w:tr w:rsidR="006E5B54" w14:paraId="719626BE" w14:textId="77777777" w:rsidTr="00E1345A">
        <w:trPr>
          <w:trHeight w:val="20"/>
        </w:trPr>
        <w:tc>
          <w:tcPr>
            <w:tcW w:w="2231" w:type="dxa"/>
            <w:tcBorders>
              <w:top w:val="single" w:sz="4" w:space="0" w:color="auto"/>
              <w:left w:val="single" w:sz="4" w:space="0" w:color="auto"/>
              <w:right w:val="single" w:sz="4" w:space="0" w:color="auto"/>
            </w:tcBorders>
            <w:shd w:val="clear" w:color="auto" w:fill="BFBFBF" w:themeFill="background1" w:themeFillShade="BF"/>
            <w:noWrap/>
            <w:vAlign w:val="center"/>
            <w:hideMark/>
          </w:tcPr>
          <w:p w14:paraId="5E4614F2" w14:textId="77777777" w:rsidR="00FA1855" w:rsidRPr="004274AD" w:rsidRDefault="00162F2E" w:rsidP="00704341">
            <w:pPr>
              <w:spacing w:after="0"/>
              <w:rPr>
                <w:rFonts w:cs="Arial"/>
                <w:b/>
                <w:bCs/>
                <w:color w:val="auto"/>
              </w:rPr>
            </w:pPr>
            <w:r w:rsidRPr="004274AD">
              <w:rPr>
                <w:rFonts w:cs="Arial"/>
                <w:b/>
                <w:bCs/>
                <w:color w:val="auto"/>
              </w:rPr>
              <w:t>Schools Reserves</w:t>
            </w:r>
          </w:p>
        </w:tc>
        <w:tc>
          <w:tcPr>
            <w:tcW w:w="2232" w:type="dxa"/>
            <w:tcBorders>
              <w:top w:val="single" w:sz="4" w:space="0" w:color="auto"/>
              <w:left w:val="nil"/>
              <w:right w:val="single" w:sz="4" w:space="0" w:color="auto"/>
            </w:tcBorders>
            <w:shd w:val="clear" w:color="auto" w:fill="BFBFBF" w:themeFill="background1" w:themeFillShade="BF"/>
            <w:vAlign w:val="center"/>
            <w:hideMark/>
          </w:tcPr>
          <w:p w14:paraId="419E6CD8" w14:textId="77777777" w:rsidR="00FA1855" w:rsidRPr="004274AD" w:rsidRDefault="00162F2E" w:rsidP="00704341">
            <w:pPr>
              <w:spacing w:after="0"/>
              <w:rPr>
                <w:rFonts w:cs="Arial"/>
                <w:b/>
                <w:bCs/>
                <w:color w:val="auto"/>
              </w:rPr>
            </w:pPr>
            <w:r w:rsidRPr="004274AD">
              <w:rPr>
                <w:rFonts w:cs="Arial"/>
                <w:b/>
                <w:bCs/>
                <w:color w:val="auto"/>
              </w:rPr>
              <w:t>Opening Balance</w:t>
            </w:r>
          </w:p>
          <w:p w14:paraId="75C267A4" w14:textId="77777777" w:rsidR="00FA1855" w:rsidRPr="004274AD" w:rsidRDefault="00162F2E" w:rsidP="00704341">
            <w:pPr>
              <w:spacing w:after="0"/>
              <w:rPr>
                <w:rFonts w:cs="Arial"/>
                <w:b/>
                <w:bCs/>
                <w:color w:val="auto"/>
              </w:rPr>
            </w:pPr>
            <w:r w:rsidRPr="004274AD">
              <w:rPr>
                <w:rFonts w:cs="Arial"/>
                <w:b/>
                <w:bCs/>
                <w:color w:val="auto"/>
              </w:rPr>
              <w:t xml:space="preserve">as </w:t>
            </w:r>
            <w:bookmarkStart w:id="10" w:name="_Int_f20y27ZD"/>
            <w:r w:rsidRPr="004274AD">
              <w:rPr>
                <w:rFonts w:cs="Arial"/>
                <w:b/>
                <w:bCs/>
                <w:color w:val="auto"/>
              </w:rPr>
              <w:t>at</w:t>
            </w:r>
            <w:bookmarkEnd w:id="10"/>
            <w:r w:rsidRPr="004274AD">
              <w:rPr>
                <w:rFonts w:cs="Arial"/>
                <w:b/>
                <w:bCs/>
                <w:color w:val="auto"/>
              </w:rPr>
              <w:t xml:space="preserve"> 1 April 20</w:t>
            </w:r>
            <w:r>
              <w:rPr>
                <w:rFonts w:cs="Arial"/>
                <w:b/>
                <w:bCs/>
                <w:color w:val="auto"/>
              </w:rPr>
              <w:t>21</w:t>
            </w:r>
          </w:p>
        </w:tc>
        <w:tc>
          <w:tcPr>
            <w:tcW w:w="2231" w:type="dxa"/>
            <w:tcBorders>
              <w:top w:val="single" w:sz="4" w:space="0" w:color="auto"/>
              <w:left w:val="nil"/>
              <w:right w:val="single" w:sz="4" w:space="0" w:color="auto"/>
            </w:tcBorders>
            <w:shd w:val="clear" w:color="auto" w:fill="BFBFBF" w:themeFill="background1" w:themeFillShade="BF"/>
            <w:vAlign w:val="center"/>
            <w:hideMark/>
          </w:tcPr>
          <w:p w14:paraId="3E0F023A" w14:textId="77777777" w:rsidR="00FA1855" w:rsidRPr="004274AD" w:rsidRDefault="00162F2E" w:rsidP="00704341">
            <w:pPr>
              <w:spacing w:after="0"/>
              <w:rPr>
                <w:rFonts w:cs="Arial"/>
                <w:b/>
                <w:bCs/>
                <w:color w:val="auto"/>
              </w:rPr>
            </w:pPr>
            <w:r w:rsidRPr="004274AD">
              <w:rPr>
                <w:rFonts w:cs="Arial"/>
                <w:b/>
                <w:bCs/>
                <w:color w:val="auto"/>
              </w:rPr>
              <w:t>In Year Changes</w:t>
            </w:r>
          </w:p>
        </w:tc>
        <w:tc>
          <w:tcPr>
            <w:tcW w:w="2232" w:type="dxa"/>
            <w:tcBorders>
              <w:top w:val="single" w:sz="4" w:space="0" w:color="auto"/>
              <w:left w:val="nil"/>
              <w:right w:val="single" w:sz="4" w:space="0" w:color="auto"/>
            </w:tcBorders>
            <w:shd w:val="clear" w:color="auto" w:fill="BFBFBF" w:themeFill="background1" w:themeFillShade="BF"/>
            <w:vAlign w:val="center"/>
            <w:hideMark/>
          </w:tcPr>
          <w:p w14:paraId="60D54A74" w14:textId="77777777" w:rsidR="00FA1855" w:rsidRPr="004274AD" w:rsidRDefault="00162F2E" w:rsidP="00704341">
            <w:pPr>
              <w:spacing w:after="0"/>
              <w:rPr>
                <w:rFonts w:cs="Arial"/>
                <w:b/>
                <w:bCs/>
                <w:color w:val="auto"/>
              </w:rPr>
            </w:pPr>
            <w:r w:rsidRPr="004274AD">
              <w:rPr>
                <w:rFonts w:cs="Arial"/>
                <w:b/>
                <w:bCs/>
                <w:color w:val="auto"/>
              </w:rPr>
              <w:t xml:space="preserve">Closing Balance as </w:t>
            </w:r>
            <w:bookmarkStart w:id="11" w:name="_Int_Qm1CLNK1"/>
            <w:r w:rsidRPr="004274AD">
              <w:rPr>
                <w:rFonts w:cs="Arial"/>
                <w:b/>
                <w:bCs/>
                <w:color w:val="auto"/>
              </w:rPr>
              <w:t>at</w:t>
            </w:r>
            <w:bookmarkEnd w:id="11"/>
            <w:r w:rsidRPr="004274AD">
              <w:rPr>
                <w:rFonts w:cs="Arial"/>
                <w:b/>
                <w:bCs/>
                <w:color w:val="auto"/>
              </w:rPr>
              <w:t xml:space="preserve"> 31 March </w:t>
            </w:r>
            <w:r>
              <w:rPr>
                <w:rFonts w:cs="Arial"/>
                <w:b/>
                <w:bCs/>
                <w:color w:val="auto"/>
              </w:rPr>
              <w:t>2022</w:t>
            </w:r>
          </w:p>
        </w:tc>
      </w:tr>
      <w:tr w:rsidR="006E5B54" w14:paraId="78FCEEA1" w14:textId="77777777" w:rsidTr="00E1345A">
        <w:trPr>
          <w:trHeight w:val="20"/>
        </w:trPr>
        <w:tc>
          <w:tcPr>
            <w:tcW w:w="2231" w:type="dxa"/>
            <w:tcBorders>
              <w:left w:val="single" w:sz="4" w:space="0" w:color="auto"/>
              <w:bottom w:val="single" w:sz="4" w:space="0" w:color="auto"/>
              <w:right w:val="single" w:sz="4" w:space="0" w:color="auto"/>
            </w:tcBorders>
            <w:shd w:val="clear" w:color="auto" w:fill="BFBFBF" w:themeFill="background1" w:themeFillShade="BF"/>
            <w:noWrap/>
            <w:vAlign w:val="bottom"/>
          </w:tcPr>
          <w:p w14:paraId="285948BA" w14:textId="77777777" w:rsidR="00FA1855" w:rsidRPr="004274AD" w:rsidRDefault="00FA1855" w:rsidP="00704341">
            <w:pPr>
              <w:spacing w:after="0"/>
              <w:rPr>
                <w:rFonts w:cs="Arial"/>
                <w:color w:val="auto"/>
              </w:rPr>
            </w:pPr>
          </w:p>
        </w:tc>
        <w:tc>
          <w:tcPr>
            <w:tcW w:w="2232" w:type="dxa"/>
            <w:tcBorders>
              <w:left w:val="nil"/>
              <w:bottom w:val="single" w:sz="4" w:space="0" w:color="auto"/>
              <w:right w:val="single" w:sz="4" w:space="0" w:color="auto"/>
            </w:tcBorders>
            <w:shd w:val="clear" w:color="auto" w:fill="BFBFBF" w:themeFill="background1" w:themeFillShade="BF"/>
            <w:vAlign w:val="center"/>
          </w:tcPr>
          <w:p w14:paraId="0447CB3C" w14:textId="77777777" w:rsidR="00FA1855" w:rsidRPr="004274AD" w:rsidRDefault="00162F2E" w:rsidP="00704341">
            <w:pPr>
              <w:spacing w:after="0"/>
              <w:jc w:val="center"/>
              <w:rPr>
                <w:rFonts w:cs="Arial"/>
                <w:color w:val="auto"/>
              </w:rPr>
            </w:pPr>
            <w:r w:rsidRPr="004274AD">
              <w:rPr>
                <w:rFonts w:cs="Arial"/>
                <w:b/>
                <w:bCs/>
                <w:color w:val="auto"/>
              </w:rPr>
              <w:t>£m</w:t>
            </w:r>
          </w:p>
        </w:tc>
        <w:tc>
          <w:tcPr>
            <w:tcW w:w="2231" w:type="dxa"/>
            <w:tcBorders>
              <w:left w:val="nil"/>
              <w:bottom w:val="single" w:sz="4" w:space="0" w:color="auto"/>
              <w:right w:val="single" w:sz="4" w:space="0" w:color="auto"/>
            </w:tcBorders>
            <w:shd w:val="clear" w:color="auto" w:fill="BFBFBF" w:themeFill="background1" w:themeFillShade="BF"/>
            <w:vAlign w:val="center"/>
          </w:tcPr>
          <w:p w14:paraId="514C7119" w14:textId="77777777" w:rsidR="00FA1855" w:rsidRPr="004274AD" w:rsidRDefault="00162F2E" w:rsidP="00704341">
            <w:pPr>
              <w:spacing w:after="0"/>
              <w:jc w:val="center"/>
              <w:rPr>
                <w:rFonts w:cs="Arial"/>
                <w:color w:val="auto"/>
              </w:rPr>
            </w:pPr>
            <w:r w:rsidRPr="004274AD">
              <w:rPr>
                <w:rFonts w:cs="Arial"/>
                <w:b/>
                <w:bCs/>
                <w:color w:val="auto"/>
              </w:rPr>
              <w:t>£m</w:t>
            </w:r>
          </w:p>
        </w:tc>
        <w:tc>
          <w:tcPr>
            <w:tcW w:w="2232" w:type="dxa"/>
            <w:tcBorders>
              <w:left w:val="nil"/>
              <w:bottom w:val="single" w:sz="4" w:space="0" w:color="auto"/>
              <w:right w:val="single" w:sz="4" w:space="0" w:color="auto"/>
            </w:tcBorders>
            <w:shd w:val="clear" w:color="auto" w:fill="BFBFBF" w:themeFill="background1" w:themeFillShade="BF"/>
            <w:vAlign w:val="center"/>
          </w:tcPr>
          <w:p w14:paraId="7C9B9DAD" w14:textId="77777777" w:rsidR="00FA1855" w:rsidRPr="004274AD" w:rsidRDefault="00162F2E" w:rsidP="00704341">
            <w:pPr>
              <w:spacing w:after="0"/>
              <w:jc w:val="center"/>
              <w:rPr>
                <w:rFonts w:cs="Arial"/>
                <w:color w:val="auto"/>
              </w:rPr>
            </w:pPr>
            <w:r w:rsidRPr="004274AD">
              <w:rPr>
                <w:rFonts w:cs="Arial"/>
                <w:b/>
                <w:bCs/>
                <w:color w:val="auto"/>
              </w:rPr>
              <w:t>£m</w:t>
            </w:r>
          </w:p>
        </w:tc>
      </w:tr>
      <w:tr w:rsidR="006E5B54" w14:paraId="31D3BB95" w14:textId="77777777" w:rsidTr="00E1345A">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B8F33" w14:textId="77777777" w:rsidR="00FA1855" w:rsidRPr="004274AD" w:rsidRDefault="00162F2E" w:rsidP="00E1345A">
            <w:pPr>
              <w:spacing w:after="0"/>
              <w:jc w:val="left"/>
              <w:rPr>
                <w:rFonts w:cs="Arial"/>
                <w:bCs/>
                <w:color w:val="auto"/>
              </w:rPr>
            </w:pPr>
            <w:r w:rsidRPr="004274AD">
              <w:rPr>
                <w:rFonts w:cs="Arial"/>
                <w:bCs/>
                <w:color w:val="auto"/>
              </w:rPr>
              <w:t>Individual Schools Reserves</w:t>
            </w:r>
          </w:p>
        </w:tc>
        <w:tc>
          <w:tcPr>
            <w:tcW w:w="2232" w:type="dxa"/>
            <w:tcBorders>
              <w:top w:val="nil"/>
              <w:left w:val="nil"/>
              <w:bottom w:val="single" w:sz="4" w:space="0" w:color="auto"/>
              <w:right w:val="single" w:sz="4" w:space="0" w:color="auto"/>
            </w:tcBorders>
            <w:shd w:val="clear" w:color="auto" w:fill="auto"/>
            <w:vAlign w:val="center"/>
            <w:hideMark/>
          </w:tcPr>
          <w:p w14:paraId="459162FB" w14:textId="77777777" w:rsidR="00FA1855" w:rsidRPr="004274AD" w:rsidRDefault="00162F2E" w:rsidP="00704341">
            <w:pPr>
              <w:spacing w:after="0"/>
              <w:jc w:val="right"/>
              <w:rPr>
                <w:rFonts w:cs="Arial"/>
                <w:bCs/>
                <w:color w:val="auto"/>
              </w:rPr>
            </w:pPr>
            <w:r w:rsidRPr="00F05168">
              <w:rPr>
                <w:rFonts w:cs="Arial"/>
                <w:bCs/>
                <w:color w:val="auto"/>
              </w:rPr>
              <w:t>90.151</w:t>
            </w:r>
          </w:p>
        </w:tc>
        <w:tc>
          <w:tcPr>
            <w:tcW w:w="2231" w:type="dxa"/>
            <w:tcBorders>
              <w:top w:val="nil"/>
              <w:left w:val="nil"/>
              <w:bottom w:val="single" w:sz="4" w:space="0" w:color="auto"/>
              <w:right w:val="single" w:sz="4" w:space="0" w:color="auto"/>
            </w:tcBorders>
            <w:shd w:val="clear" w:color="auto" w:fill="auto"/>
            <w:vAlign w:val="center"/>
            <w:hideMark/>
          </w:tcPr>
          <w:p w14:paraId="758F0DA6" w14:textId="77777777" w:rsidR="00FA1855" w:rsidRPr="004274AD" w:rsidRDefault="00162F2E" w:rsidP="00704341">
            <w:pPr>
              <w:spacing w:after="0"/>
              <w:jc w:val="right"/>
              <w:rPr>
                <w:rFonts w:cs="Arial"/>
                <w:bCs/>
                <w:color w:val="auto"/>
              </w:rPr>
            </w:pPr>
            <w:r w:rsidRPr="00F05168">
              <w:rPr>
                <w:rFonts w:cs="Arial"/>
                <w:bCs/>
                <w:color w:val="auto"/>
              </w:rPr>
              <w:t>5.1</w:t>
            </w:r>
            <w:r>
              <w:rPr>
                <w:rFonts w:cs="Arial"/>
                <w:bCs/>
                <w:color w:val="auto"/>
              </w:rPr>
              <w:t>62</w:t>
            </w:r>
          </w:p>
        </w:tc>
        <w:tc>
          <w:tcPr>
            <w:tcW w:w="2232" w:type="dxa"/>
            <w:tcBorders>
              <w:top w:val="nil"/>
              <w:left w:val="nil"/>
              <w:bottom w:val="single" w:sz="4" w:space="0" w:color="auto"/>
              <w:right w:val="single" w:sz="4" w:space="0" w:color="auto"/>
            </w:tcBorders>
            <w:shd w:val="clear" w:color="auto" w:fill="auto"/>
            <w:vAlign w:val="center"/>
            <w:hideMark/>
          </w:tcPr>
          <w:p w14:paraId="0C0B8AAD" w14:textId="77777777" w:rsidR="00FA1855" w:rsidRPr="004274AD" w:rsidRDefault="00162F2E" w:rsidP="00704341">
            <w:pPr>
              <w:spacing w:after="0"/>
              <w:jc w:val="right"/>
              <w:rPr>
                <w:rFonts w:cs="Arial"/>
                <w:bCs/>
                <w:color w:val="auto"/>
              </w:rPr>
            </w:pPr>
            <w:r w:rsidRPr="00F05168">
              <w:rPr>
                <w:rFonts w:cs="Arial"/>
                <w:bCs/>
                <w:color w:val="auto"/>
              </w:rPr>
              <w:t>95.3</w:t>
            </w:r>
            <w:r>
              <w:rPr>
                <w:rFonts w:cs="Arial"/>
                <w:bCs/>
                <w:color w:val="auto"/>
              </w:rPr>
              <w:t>13</w:t>
            </w:r>
          </w:p>
        </w:tc>
      </w:tr>
      <w:tr w:rsidR="006E5B54" w14:paraId="34924A44" w14:textId="77777777" w:rsidTr="00E1345A">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00777" w14:textId="77777777" w:rsidR="00FA1855" w:rsidRPr="00CB0ADE" w:rsidRDefault="00162F2E" w:rsidP="00E1345A">
            <w:pPr>
              <w:spacing w:after="0"/>
              <w:jc w:val="left"/>
              <w:rPr>
                <w:rFonts w:cs="Arial"/>
                <w:bCs/>
                <w:color w:val="auto"/>
              </w:rPr>
            </w:pPr>
            <w:r w:rsidRPr="00CB0ADE">
              <w:rPr>
                <w:rFonts w:cs="Arial"/>
                <w:bCs/>
                <w:color w:val="auto"/>
              </w:rPr>
              <w:t>Other Schools Reserves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21BB2CE2" w14:textId="77777777" w:rsidR="00FA1855" w:rsidRPr="00CB0ADE" w:rsidRDefault="00162F2E" w:rsidP="00704341">
            <w:pPr>
              <w:spacing w:after="0"/>
              <w:jc w:val="right"/>
              <w:rPr>
                <w:rFonts w:cs="Arial"/>
                <w:bCs/>
                <w:color w:val="auto"/>
              </w:rPr>
            </w:pPr>
            <w:r w:rsidRPr="00CB0ADE">
              <w:rPr>
                <w:rFonts w:cs="Arial"/>
                <w:bCs/>
                <w:color w:val="auto"/>
              </w:rPr>
              <w:t>20.767</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24B5ACF9" w14:textId="77777777" w:rsidR="00FA1855" w:rsidRPr="00CB0ADE" w:rsidRDefault="00162F2E" w:rsidP="00704341">
            <w:pPr>
              <w:spacing w:after="0"/>
              <w:jc w:val="right"/>
              <w:rPr>
                <w:rFonts w:cs="Arial"/>
                <w:bCs/>
                <w:color w:val="auto"/>
              </w:rPr>
            </w:pPr>
            <w:r w:rsidRPr="00CB0ADE">
              <w:rPr>
                <w:rFonts w:cs="Arial"/>
                <w:bCs/>
                <w:color w:val="auto"/>
              </w:rPr>
              <w:t>10.792</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68B9A23F" w14:textId="77777777" w:rsidR="00FA1855" w:rsidRPr="00CB0ADE" w:rsidRDefault="00162F2E" w:rsidP="00704341">
            <w:pPr>
              <w:spacing w:after="0"/>
              <w:jc w:val="right"/>
              <w:rPr>
                <w:rFonts w:cs="Arial"/>
                <w:bCs/>
                <w:color w:val="auto"/>
              </w:rPr>
            </w:pPr>
            <w:r w:rsidRPr="00CB0ADE">
              <w:rPr>
                <w:rFonts w:cs="Arial"/>
                <w:bCs/>
                <w:color w:val="auto"/>
              </w:rPr>
              <w:t>31.559</w:t>
            </w:r>
          </w:p>
        </w:tc>
      </w:tr>
    </w:tbl>
    <w:p w14:paraId="6B37E473" w14:textId="77777777" w:rsidR="00FA1855" w:rsidRPr="004274AD" w:rsidRDefault="00162F2E" w:rsidP="00FA1855">
      <w:pPr>
        <w:spacing w:after="0"/>
        <w:rPr>
          <w:rFonts w:cs="Arial"/>
          <w:color w:val="auto"/>
        </w:rPr>
      </w:pPr>
      <w:r w:rsidRPr="004274AD">
        <w:rPr>
          <w:rFonts w:cs="Arial"/>
          <w:color w:val="auto"/>
        </w:rPr>
        <w:t>** The School Reserves are ring-fenced to schools and are used at schools' discretion.</w:t>
      </w:r>
    </w:p>
    <w:p w14:paraId="5A43F022" w14:textId="77777777" w:rsidR="00FA1855" w:rsidRPr="004274AD" w:rsidRDefault="00FA1855" w:rsidP="00FA1855">
      <w:pPr>
        <w:spacing w:after="0"/>
        <w:rPr>
          <w:rFonts w:cs="Arial"/>
          <w:b/>
          <w:bCs/>
          <w:color w:val="auto"/>
        </w:rPr>
      </w:pPr>
    </w:p>
    <w:p w14:paraId="7B6038F7" w14:textId="77777777" w:rsidR="00FA1855" w:rsidRPr="004274AD" w:rsidRDefault="00162F2E" w:rsidP="00FA1855">
      <w:pPr>
        <w:spacing w:after="0"/>
        <w:rPr>
          <w:rFonts w:cs="Arial"/>
          <w:color w:val="auto"/>
        </w:rPr>
      </w:pPr>
      <w:r w:rsidRPr="004274AD">
        <w:rPr>
          <w:rFonts w:cs="Arial"/>
          <w:color w:val="auto"/>
        </w:rPr>
        <w:t>Under the Education Reform Act, schools are given most of their budgets to directly control. If a school does not spend its entire budget, it is held as a reserve for them to use in the future. These reserves cannot be used for any other purpose.</w:t>
      </w:r>
    </w:p>
    <w:p w14:paraId="35765C29" w14:textId="77777777" w:rsidR="00FA1855" w:rsidRPr="004274AD" w:rsidRDefault="00FA1855" w:rsidP="00FA1855">
      <w:pPr>
        <w:spacing w:after="0"/>
        <w:rPr>
          <w:rFonts w:cs="Arial"/>
          <w:color w:val="auto"/>
        </w:rPr>
      </w:pPr>
    </w:p>
    <w:p w14:paraId="18BA5143" w14:textId="77777777" w:rsidR="00D10794" w:rsidRPr="00812801" w:rsidRDefault="00D10794" w:rsidP="00D10794">
      <w:pPr>
        <w:spacing w:after="0"/>
        <w:rPr>
          <w:rFonts w:cs="Arial"/>
          <w:highlight w:val="yellow"/>
        </w:rPr>
      </w:pPr>
    </w:p>
    <w:p w14:paraId="3ECC2BF1" w14:textId="77777777" w:rsidR="00D10794" w:rsidRPr="00812801" w:rsidRDefault="00D10794" w:rsidP="00D10794">
      <w:pPr>
        <w:spacing w:after="0"/>
        <w:rPr>
          <w:rFonts w:cs="Arial"/>
          <w:highlight w:val="yellow"/>
        </w:rPr>
      </w:pPr>
    </w:p>
    <w:p w14:paraId="39BE83A9" w14:textId="77777777" w:rsidR="00D10794" w:rsidRPr="00812801" w:rsidRDefault="00D10794" w:rsidP="00D10794">
      <w:pPr>
        <w:spacing w:after="0"/>
        <w:rPr>
          <w:rFonts w:cs="Arial"/>
          <w:highlight w:val="yellow"/>
        </w:rPr>
      </w:pPr>
    </w:p>
    <w:p w14:paraId="5CCDAC54" w14:textId="77777777" w:rsidR="00D10794" w:rsidRPr="00812801" w:rsidRDefault="00D10794" w:rsidP="00D10794">
      <w:pPr>
        <w:spacing w:after="0"/>
        <w:rPr>
          <w:rFonts w:cs="Arial"/>
          <w:highlight w:val="yellow"/>
        </w:rPr>
      </w:pPr>
    </w:p>
    <w:p w14:paraId="59590CB9" w14:textId="77777777" w:rsidR="00D10794" w:rsidRPr="00812801" w:rsidRDefault="00D10794" w:rsidP="00D10794">
      <w:pPr>
        <w:spacing w:after="0"/>
        <w:rPr>
          <w:rFonts w:cs="Arial"/>
          <w:highlight w:val="yellow"/>
        </w:rPr>
      </w:pPr>
    </w:p>
    <w:p w14:paraId="4849F8DD" w14:textId="77777777" w:rsidR="00D10794" w:rsidRPr="00812801" w:rsidRDefault="00D10794" w:rsidP="00D10794">
      <w:pPr>
        <w:spacing w:after="0"/>
        <w:rPr>
          <w:rFonts w:cs="Arial"/>
          <w:highlight w:val="yellow"/>
        </w:rPr>
      </w:pPr>
    </w:p>
    <w:p w14:paraId="58DD0017" w14:textId="77777777" w:rsidR="00D10794" w:rsidRPr="00812801" w:rsidRDefault="00D10794" w:rsidP="00D10794">
      <w:pPr>
        <w:spacing w:after="0"/>
        <w:rPr>
          <w:rFonts w:cs="Arial"/>
          <w:highlight w:val="yellow"/>
        </w:rPr>
      </w:pPr>
    </w:p>
    <w:p w14:paraId="315948F9" w14:textId="77777777" w:rsidR="00D10794" w:rsidRPr="00812801" w:rsidRDefault="00D10794" w:rsidP="00D10794">
      <w:pPr>
        <w:spacing w:after="0"/>
        <w:rPr>
          <w:rFonts w:cs="Arial"/>
          <w:highlight w:val="yellow"/>
        </w:rPr>
      </w:pPr>
    </w:p>
    <w:p w14:paraId="49515166" w14:textId="77777777" w:rsidR="00D10794" w:rsidRPr="00812801" w:rsidRDefault="00D10794" w:rsidP="00D10794">
      <w:pPr>
        <w:spacing w:after="0"/>
        <w:rPr>
          <w:rFonts w:cs="Arial"/>
          <w:highlight w:val="yellow"/>
        </w:rPr>
      </w:pPr>
    </w:p>
    <w:p w14:paraId="4FAC80D5" w14:textId="77777777" w:rsidR="00D10794" w:rsidRPr="00812801" w:rsidRDefault="00D10794" w:rsidP="00D10794">
      <w:pPr>
        <w:spacing w:after="0"/>
        <w:rPr>
          <w:rFonts w:cs="Arial"/>
          <w:highlight w:val="yellow"/>
        </w:rPr>
      </w:pPr>
    </w:p>
    <w:p w14:paraId="27D74FDC" w14:textId="77777777" w:rsidR="00D10794" w:rsidRPr="00812801" w:rsidRDefault="00D10794" w:rsidP="00D10794">
      <w:pPr>
        <w:spacing w:after="0"/>
        <w:rPr>
          <w:rFonts w:cs="Arial"/>
          <w:highlight w:val="yellow"/>
        </w:rPr>
      </w:pPr>
    </w:p>
    <w:p w14:paraId="0A1F74A8" w14:textId="77777777" w:rsidR="00D10794" w:rsidRPr="00812801" w:rsidRDefault="00D10794" w:rsidP="00D10794">
      <w:pPr>
        <w:spacing w:after="0"/>
        <w:rPr>
          <w:rFonts w:cs="Arial"/>
          <w:highlight w:val="yellow"/>
        </w:rPr>
      </w:pPr>
    </w:p>
    <w:p w14:paraId="73CAFA50" w14:textId="77777777" w:rsidR="00D10794" w:rsidRPr="00812801" w:rsidRDefault="00D10794" w:rsidP="00D10794">
      <w:pPr>
        <w:spacing w:after="0"/>
        <w:rPr>
          <w:rFonts w:cs="Arial"/>
          <w:highlight w:val="yellow"/>
        </w:rPr>
      </w:pPr>
    </w:p>
    <w:p w14:paraId="4CF1D27C" w14:textId="77777777" w:rsidR="00D10794" w:rsidRPr="00812801" w:rsidRDefault="00D10794" w:rsidP="00D10794">
      <w:pPr>
        <w:spacing w:after="0"/>
        <w:rPr>
          <w:rFonts w:cs="Arial"/>
          <w:highlight w:val="yellow"/>
        </w:rPr>
      </w:pPr>
    </w:p>
    <w:p w14:paraId="7424CFF6" w14:textId="77777777" w:rsidR="00D10794" w:rsidRPr="00812801" w:rsidRDefault="00D10794" w:rsidP="00D10794">
      <w:pPr>
        <w:spacing w:after="0"/>
        <w:rPr>
          <w:rFonts w:cs="Arial"/>
          <w:highlight w:val="yellow"/>
        </w:rPr>
      </w:pPr>
    </w:p>
    <w:p w14:paraId="434B064E" w14:textId="77777777" w:rsidR="00D10794" w:rsidRPr="00812801" w:rsidRDefault="00D10794" w:rsidP="00D10794">
      <w:pPr>
        <w:spacing w:after="0"/>
        <w:rPr>
          <w:rFonts w:cs="Arial"/>
          <w:highlight w:val="yellow"/>
        </w:rPr>
      </w:pPr>
    </w:p>
    <w:p w14:paraId="303DB494" w14:textId="77777777" w:rsidR="00D10794" w:rsidRPr="00812801" w:rsidRDefault="00D10794" w:rsidP="00D10794">
      <w:pPr>
        <w:spacing w:after="0"/>
        <w:rPr>
          <w:rFonts w:cs="Arial"/>
          <w:highlight w:val="yellow"/>
        </w:rPr>
      </w:pPr>
    </w:p>
    <w:p w14:paraId="4A456E3A" w14:textId="77777777" w:rsidR="00D10794" w:rsidRPr="00812801" w:rsidRDefault="00D10794" w:rsidP="00D10794">
      <w:pPr>
        <w:spacing w:after="0"/>
        <w:rPr>
          <w:rFonts w:cs="Arial"/>
          <w:highlight w:val="yellow"/>
        </w:rPr>
      </w:pPr>
    </w:p>
    <w:p w14:paraId="64A28674" w14:textId="77777777" w:rsidR="00D10794" w:rsidRPr="00812801" w:rsidRDefault="00D10794" w:rsidP="00D10794">
      <w:pPr>
        <w:spacing w:after="0"/>
        <w:rPr>
          <w:rFonts w:cs="Arial"/>
          <w:highlight w:val="yellow"/>
        </w:rPr>
      </w:pPr>
    </w:p>
    <w:p w14:paraId="4A0CF2BF" w14:textId="77777777" w:rsidR="00D10794" w:rsidRPr="00812801" w:rsidRDefault="00D10794" w:rsidP="00D10794">
      <w:pPr>
        <w:spacing w:after="0"/>
        <w:rPr>
          <w:rFonts w:cs="Arial"/>
          <w:highlight w:val="yellow"/>
        </w:rPr>
      </w:pPr>
    </w:p>
    <w:p w14:paraId="6DC964B9" w14:textId="77777777" w:rsidR="00D10794" w:rsidRPr="00812801" w:rsidRDefault="00D10794" w:rsidP="00D10794">
      <w:pPr>
        <w:spacing w:after="0"/>
        <w:rPr>
          <w:rFonts w:cs="Arial"/>
          <w:highlight w:val="yellow"/>
        </w:rPr>
      </w:pPr>
    </w:p>
    <w:p w14:paraId="6229F727" w14:textId="77777777" w:rsidR="00D10794" w:rsidRPr="00812801" w:rsidRDefault="00D10794" w:rsidP="00D10794">
      <w:pPr>
        <w:spacing w:after="0"/>
        <w:rPr>
          <w:rFonts w:cs="Arial"/>
          <w:highlight w:val="yellow"/>
        </w:rPr>
      </w:pPr>
    </w:p>
    <w:p w14:paraId="7EFB8D5F" w14:textId="77777777" w:rsidR="00D10794" w:rsidRPr="00812801" w:rsidRDefault="00D10794" w:rsidP="00D10794">
      <w:pPr>
        <w:spacing w:after="0"/>
        <w:rPr>
          <w:rFonts w:cs="Arial"/>
          <w:highlight w:val="yellow"/>
        </w:rPr>
      </w:pPr>
    </w:p>
    <w:p w14:paraId="136B7F88" w14:textId="77777777" w:rsidR="00D10794" w:rsidRDefault="00D10794" w:rsidP="00D10794">
      <w:pPr>
        <w:spacing w:after="0"/>
        <w:rPr>
          <w:rFonts w:cs="Arial"/>
          <w:highlight w:val="yellow"/>
        </w:rPr>
      </w:pPr>
    </w:p>
    <w:p w14:paraId="1E084E5D" w14:textId="77777777" w:rsidR="00B61F72" w:rsidRDefault="00B61F72" w:rsidP="00D10794">
      <w:pPr>
        <w:spacing w:after="0"/>
        <w:rPr>
          <w:rFonts w:cs="Arial"/>
          <w:highlight w:val="yellow"/>
        </w:rPr>
      </w:pPr>
    </w:p>
    <w:p w14:paraId="3FB303FA" w14:textId="77777777" w:rsidR="00B61F72" w:rsidRDefault="00B61F72" w:rsidP="00D10794">
      <w:pPr>
        <w:spacing w:after="0"/>
        <w:rPr>
          <w:rFonts w:cs="Arial"/>
          <w:highlight w:val="yellow"/>
        </w:rPr>
      </w:pPr>
    </w:p>
    <w:p w14:paraId="51AC5E84" w14:textId="77777777" w:rsidR="00B61F72" w:rsidRPr="00812801" w:rsidRDefault="00B61F72" w:rsidP="00D10794">
      <w:pPr>
        <w:spacing w:after="0"/>
        <w:rPr>
          <w:rFonts w:cs="Arial"/>
          <w:highlight w:val="yellow"/>
        </w:rPr>
      </w:pPr>
    </w:p>
    <w:p w14:paraId="5CB2DFD8" w14:textId="77777777" w:rsidR="00D10794" w:rsidRPr="00812801" w:rsidRDefault="00D10794" w:rsidP="00D10794">
      <w:pPr>
        <w:spacing w:after="0"/>
        <w:rPr>
          <w:rFonts w:cs="Arial"/>
          <w:highlight w:val="yellow"/>
        </w:rPr>
      </w:pPr>
    </w:p>
    <w:p w14:paraId="55423EE7" w14:textId="77777777" w:rsidR="00D10794" w:rsidRPr="00812801" w:rsidRDefault="00162F2E" w:rsidP="00D10794">
      <w:pPr>
        <w:spacing w:after="0"/>
        <w:rPr>
          <w:rFonts w:cs="Arial"/>
          <w:b/>
        </w:rPr>
      </w:pPr>
      <w:r w:rsidRPr="2ADE0270">
        <w:rPr>
          <w:rFonts w:cs="Arial"/>
          <w:b/>
        </w:rPr>
        <w:lastRenderedPageBreak/>
        <w:t xml:space="preserve">Section C – The </w:t>
      </w:r>
      <w:r w:rsidR="004F05D5" w:rsidRPr="2ADE0270">
        <w:rPr>
          <w:rFonts w:cs="Arial"/>
          <w:b/>
        </w:rPr>
        <w:t>2021/22</w:t>
      </w:r>
      <w:r w:rsidRPr="2ADE0270">
        <w:rPr>
          <w:rFonts w:cs="Arial"/>
          <w:b/>
        </w:rPr>
        <w:t xml:space="preserve"> Capital Delivery Programme</w:t>
      </w:r>
    </w:p>
    <w:p w14:paraId="69741129" w14:textId="77777777" w:rsidR="00D10794" w:rsidRPr="00812801" w:rsidRDefault="00D10794" w:rsidP="00D10794">
      <w:pPr>
        <w:spacing w:after="0"/>
        <w:rPr>
          <w:rFonts w:cs="Arial"/>
          <w:b/>
        </w:rPr>
      </w:pPr>
    </w:p>
    <w:p w14:paraId="24C34BA8" w14:textId="77777777" w:rsidR="00D10794" w:rsidRPr="00812801" w:rsidRDefault="00162F2E" w:rsidP="00740FE3">
      <w:pPr>
        <w:numPr>
          <w:ilvl w:val="0"/>
          <w:numId w:val="30"/>
        </w:numPr>
        <w:autoSpaceDE/>
        <w:autoSpaceDN/>
        <w:adjustRightInd/>
        <w:spacing w:after="160" w:line="259" w:lineRule="auto"/>
        <w:contextualSpacing/>
        <w:jc w:val="left"/>
        <w:rPr>
          <w:rFonts w:cstheme="minorBidi"/>
          <w:b/>
        </w:rPr>
      </w:pPr>
      <w:r w:rsidRPr="2ADE0270">
        <w:rPr>
          <w:rFonts w:cstheme="minorBidi"/>
          <w:b/>
        </w:rPr>
        <w:t>Introduction</w:t>
      </w:r>
    </w:p>
    <w:p w14:paraId="733A25E0" w14:textId="77777777" w:rsidR="00D10794" w:rsidRPr="00812801" w:rsidRDefault="00D10794" w:rsidP="00D10794">
      <w:pPr>
        <w:spacing w:after="0"/>
        <w:rPr>
          <w:rFonts w:cstheme="minorHAnsi"/>
          <w:highlight w:val="yellow"/>
        </w:rPr>
      </w:pPr>
    </w:p>
    <w:p w14:paraId="18CBE4E9" w14:textId="77777777" w:rsidR="00D10794" w:rsidRPr="00812801" w:rsidRDefault="00162F2E" w:rsidP="0CFBF26B">
      <w:pPr>
        <w:autoSpaceDE/>
        <w:autoSpaceDN/>
        <w:adjustRightInd/>
        <w:spacing w:after="0"/>
      </w:pPr>
      <w:r w:rsidRPr="0CFBF26B">
        <w:rPr>
          <w:rFonts w:eastAsia="Arial" w:cs="Arial"/>
          <w:color w:val="000000" w:themeColor="text1"/>
        </w:rPr>
        <w:t>In February 2021 an indicative Capital Delivery Programme of £152.439m was agreed with Cabinet. Subsequent approved additions and re-profiling of the programme have increased the in-year programme to £170.563m.</w:t>
      </w:r>
    </w:p>
    <w:p w14:paraId="61196CB9" w14:textId="77777777" w:rsidR="00D10794" w:rsidRPr="00812801" w:rsidRDefault="00162F2E" w:rsidP="0CFBF26B">
      <w:pPr>
        <w:autoSpaceDE/>
        <w:autoSpaceDN/>
        <w:adjustRightInd/>
        <w:spacing w:after="0"/>
      </w:pPr>
      <w:r w:rsidRPr="0CFBF26B">
        <w:rPr>
          <w:rFonts w:eastAsia="Arial" w:cs="Arial"/>
          <w:color w:val="000000" w:themeColor="text1"/>
        </w:rPr>
        <w:t xml:space="preserve"> </w:t>
      </w:r>
    </w:p>
    <w:p w14:paraId="276CEA3F" w14:textId="77777777" w:rsidR="00D10794" w:rsidRPr="00812801" w:rsidRDefault="00162F2E" w:rsidP="00642D26">
      <w:pPr>
        <w:autoSpaceDE/>
        <w:autoSpaceDN/>
        <w:adjustRightInd/>
        <w:spacing w:after="0"/>
      </w:pPr>
      <w:r w:rsidRPr="0CFBF26B">
        <w:rPr>
          <w:rFonts w:eastAsia="Arial" w:cs="Arial"/>
          <w:color w:val="000000" w:themeColor="text1"/>
        </w:rPr>
        <w:t>The Delivery Programme is shown in section 2 split by block. This was agreed by service heads as being deliverable, with the understanding that it is an ambitious delivery programme, pushing to catch up on slipped delivery due to two lockdowns within 2020/21, as well as aiming to deliver schemes already programmed in for delivery this financial year. The project and programme managers were held accountable using the following actions:</w:t>
      </w:r>
    </w:p>
    <w:p w14:paraId="18634217" w14:textId="77777777" w:rsidR="00D10794" w:rsidRPr="00812801" w:rsidRDefault="00162F2E" w:rsidP="00642D26">
      <w:pPr>
        <w:autoSpaceDE/>
        <w:autoSpaceDN/>
        <w:adjustRightInd/>
        <w:spacing w:after="0"/>
      </w:pPr>
      <w:r w:rsidRPr="0CFBF26B">
        <w:rPr>
          <w:rFonts w:eastAsia="Arial" w:cs="Arial"/>
          <w:color w:val="000000" w:themeColor="text1"/>
        </w:rPr>
        <w:t xml:space="preserve"> </w:t>
      </w:r>
    </w:p>
    <w:p w14:paraId="32EB1F9C" w14:textId="77777777" w:rsidR="00D10794" w:rsidRPr="00812801" w:rsidRDefault="00162F2E" w:rsidP="00642D26">
      <w:pPr>
        <w:pStyle w:val="ListParagraph"/>
        <w:numPr>
          <w:ilvl w:val="0"/>
          <w:numId w:val="66"/>
        </w:numPr>
        <w:autoSpaceDE/>
        <w:autoSpaceDN/>
        <w:adjustRightInd/>
        <w:spacing w:after="0"/>
        <w:rPr>
          <w:rFonts w:eastAsia="Arial" w:cs="Arial"/>
          <w:color w:val="000000" w:themeColor="text1"/>
        </w:rPr>
      </w:pPr>
      <w:r w:rsidRPr="0CFBF26B">
        <w:rPr>
          <w:rFonts w:eastAsia="Arial" w:cs="Arial"/>
        </w:rPr>
        <w:t>Detailed monitoring of the delivery programme through 2021/22 to ensure variances are reported in a timely manner and a robust level of challenge is provided to programme and project managers to ensure delivery remains on track.</w:t>
      </w:r>
    </w:p>
    <w:p w14:paraId="01286071" w14:textId="77777777" w:rsidR="00D10794" w:rsidRPr="00812801" w:rsidRDefault="00162F2E" w:rsidP="00642D26">
      <w:pPr>
        <w:pStyle w:val="ListParagraph"/>
        <w:numPr>
          <w:ilvl w:val="0"/>
          <w:numId w:val="66"/>
        </w:numPr>
        <w:autoSpaceDE/>
        <w:autoSpaceDN/>
        <w:adjustRightInd/>
        <w:spacing w:after="0"/>
        <w:rPr>
          <w:rFonts w:eastAsia="Arial" w:cs="Arial"/>
          <w:color w:val="000000" w:themeColor="text1"/>
        </w:rPr>
      </w:pPr>
      <w:r w:rsidRPr="0CFBF26B">
        <w:rPr>
          <w:rFonts w:eastAsia="Arial" w:cs="Arial"/>
        </w:rPr>
        <w:t>Performance reports developed to enable the Capital Board to undertake this monitoring and challenge.</w:t>
      </w:r>
    </w:p>
    <w:p w14:paraId="05088E72" w14:textId="77777777" w:rsidR="00D10794" w:rsidRPr="00812801" w:rsidRDefault="00162F2E" w:rsidP="00642D26">
      <w:pPr>
        <w:autoSpaceDE/>
        <w:autoSpaceDN/>
        <w:adjustRightInd/>
        <w:spacing w:after="0"/>
      </w:pPr>
      <w:r w:rsidRPr="0CFBF26B">
        <w:rPr>
          <w:rFonts w:eastAsia="Arial" w:cs="Arial"/>
          <w:b/>
          <w:bCs/>
          <w:color w:val="000000" w:themeColor="text1"/>
        </w:rPr>
        <w:t xml:space="preserve"> </w:t>
      </w:r>
    </w:p>
    <w:p w14:paraId="344D5227" w14:textId="77777777" w:rsidR="00D10794" w:rsidRPr="007B386D" w:rsidRDefault="00162F2E" w:rsidP="007B386D">
      <w:pPr>
        <w:pStyle w:val="ListParagraph"/>
        <w:numPr>
          <w:ilvl w:val="0"/>
          <w:numId w:val="30"/>
        </w:numPr>
        <w:autoSpaceDE/>
        <w:autoSpaceDN/>
        <w:adjustRightInd/>
        <w:spacing w:after="0"/>
        <w:jc w:val="left"/>
        <w:rPr>
          <w:rFonts w:eastAsia="Arial" w:cs="Arial"/>
          <w:b/>
          <w:color w:val="000000" w:themeColor="text1"/>
        </w:rPr>
      </w:pPr>
      <w:r w:rsidRPr="007B386D">
        <w:rPr>
          <w:rFonts w:eastAsia="Arial" w:cs="Arial"/>
          <w:b/>
        </w:rPr>
        <w:t>Delivery Programme</w:t>
      </w:r>
    </w:p>
    <w:p w14:paraId="155583FC" w14:textId="77777777" w:rsidR="00D10794" w:rsidRPr="00812801" w:rsidRDefault="00162F2E" w:rsidP="00D10794">
      <w:pPr>
        <w:autoSpaceDE/>
        <w:autoSpaceDN/>
        <w:adjustRightInd/>
        <w:spacing w:after="0"/>
        <w:jc w:val="left"/>
      </w:pPr>
      <w:r w:rsidRPr="0CFBF26B">
        <w:rPr>
          <w:rFonts w:eastAsia="Arial" w:cs="Arial"/>
          <w:b/>
          <w:bCs/>
          <w:color w:val="000000" w:themeColor="text1"/>
        </w:rPr>
        <w:t xml:space="preserve"> </w:t>
      </w:r>
    </w:p>
    <w:p w14:paraId="0CB51E9F" w14:textId="77777777" w:rsidR="00D10794" w:rsidRPr="00812801" w:rsidRDefault="00162F2E" w:rsidP="0CFBF26B">
      <w:pPr>
        <w:autoSpaceDE/>
        <w:autoSpaceDN/>
        <w:adjustRightInd/>
        <w:spacing w:after="0"/>
      </w:pPr>
      <w:r w:rsidRPr="0CFBF26B">
        <w:rPr>
          <w:rFonts w:eastAsia="Arial" w:cs="Arial"/>
          <w:color w:val="000000" w:themeColor="text1"/>
        </w:rPr>
        <w:t xml:space="preserve">The delivery programme was originally agreed in June 2021. It is made up of the Cabinet agreed 2021/22 budget, updated with any approved decisions and reprofiling since June 2021, and an expected delivery amount for prior year schemes. This formed the basis of the monitoring report throughout the year. </w:t>
      </w:r>
    </w:p>
    <w:p w14:paraId="1B648135" w14:textId="77777777" w:rsidR="00D10794" w:rsidRPr="00812801" w:rsidRDefault="00162F2E" w:rsidP="0CFBF26B">
      <w:pPr>
        <w:autoSpaceDE/>
        <w:autoSpaceDN/>
        <w:adjustRightInd/>
        <w:spacing w:after="0"/>
      </w:pPr>
      <w:r w:rsidRPr="0CFBF26B">
        <w:rPr>
          <w:rFonts w:eastAsia="Arial" w:cs="Arial"/>
          <w:color w:val="000000" w:themeColor="text1"/>
        </w:rPr>
        <w:t xml:space="preserve"> </w:t>
      </w:r>
    </w:p>
    <w:p w14:paraId="79BD9C5D" w14:textId="77777777" w:rsidR="00D10794" w:rsidRPr="00812801" w:rsidRDefault="00162F2E" w:rsidP="0CFBF26B">
      <w:pPr>
        <w:autoSpaceDE/>
        <w:autoSpaceDN/>
        <w:adjustRightInd/>
        <w:spacing w:after="0"/>
      </w:pPr>
      <w:r w:rsidRPr="0CFBF26B">
        <w:rPr>
          <w:rFonts w:eastAsia="Arial" w:cs="Arial"/>
          <w:color w:val="000000" w:themeColor="text1"/>
        </w:rPr>
        <w:t>The final delivery programme is £170.563m as set out in table 1 below:</w:t>
      </w:r>
    </w:p>
    <w:p w14:paraId="7A2496A0" w14:textId="77777777" w:rsidR="00D10794" w:rsidRPr="00812801" w:rsidRDefault="00162F2E" w:rsidP="0CFBF26B">
      <w:pPr>
        <w:autoSpaceDE/>
        <w:autoSpaceDN/>
        <w:adjustRightInd/>
        <w:spacing w:after="0"/>
      </w:pPr>
      <w:r w:rsidRPr="0CFBF26B">
        <w:rPr>
          <w:rFonts w:eastAsia="Arial" w:cs="Arial"/>
          <w:color w:val="000000" w:themeColor="text1"/>
        </w:rPr>
        <w:t xml:space="preserve"> </w:t>
      </w:r>
    </w:p>
    <w:p w14:paraId="68B383DD" w14:textId="77777777" w:rsidR="00D10794" w:rsidRPr="00812801" w:rsidRDefault="00162F2E" w:rsidP="0CFBF26B">
      <w:pPr>
        <w:autoSpaceDE/>
        <w:autoSpaceDN/>
        <w:adjustRightInd/>
        <w:spacing w:after="0"/>
      </w:pPr>
      <w:r w:rsidRPr="0CFBF26B">
        <w:rPr>
          <w:rFonts w:eastAsia="Arial" w:cs="Arial"/>
          <w:b/>
          <w:color w:val="000000" w:themeColor="text1"/>
        </w:rPr>
        <w:t xml:space="preserve">Table 1 – </w:t>
      </w:r>
      <w:r w:rsidR="004F05D5" w:rsidRPr="0CFBF26B">
        <w:rPr>
          <w:rFonts w:eastAsia="Arial" w:cs="Arial"/>
          <w:b/>
          <w:color w:val="000000" w:themeColor="text1"/>
        </w:rPr>
        <w:t>2021/22</w:t>
      </w:r>
      <w:r w:rsidRPr="0CFBF26B">
        <w:rPr>
          <w:rFonts w:eastAsia="Arial" w:cs="Arial"/>
          <w:b/>
          <w:color w:val="000000" w:themeColor="text1"/>
        </w:rPr>
        <w:t xml:space="preserve"> Capital delivery programme by block</w:t>
      </w:r>
    </w:p>
    <w:p w14:paraId="49D6AC59" w14:textId="77777777" w:rsidR="00D10794" w:rsidRPr="00812801" w:rsidRDefault="00162F2E" w:rsidP="0CFBF26B">
      <w:pPr>
        <w:autoSpaceDE/>
        <w:autoSpaceDN/>
        <w:adjustRightInd/>
        <w:spacing w:after="0"/>
      </w:pPr>
      <w:r w:rsidRPr="0CFBF26B">
        <w:rPr>
          <w:rFonts w:eastAsia="Arial" w:cs="Arial"/>
          <w:color w:val="000000" w:themeColor="text1"/>
        </w:rPr>
        <w:t xml:space="preserve"> </w:t>
      </w:r>
    </w:p>
    <w:tbl>
      <w:tblPr>
        <w:tblW w:w="0" w:type="auto"/>
        <w:tblLayout w:type="fixed"/>
        <w:tblLook w:val="04A0" w:firstRow="1" w:lastRow="0" w:firstColumn="1" w:lastColumn="0" w:noHBand="0" w:noVBand="1"/>
      </w:tblPr>
      <w:tblGrid>
        <w:gridCol w:w="3007"/>
        <w:gridCol w:w="1371"/>
        <w:gridCol w:w="1371"/>
        <w:gridCol w:w="1371"/>
        <w:gridCol w:w="1371"/>
      </w:tblGrid>
      <w:tr w:rsidR="006E5B54" w14:paraId="134DBE9D" w14:textId="77777777" w:rsidTr="0CFBF26B">
        <w:trPr>
          <w:trHeight w:val="720"/>
        </w:trPr>
        <w:tc>
          <w:tcPr>
            <w:tcW w:w="3007" w:type="dxa"/>
            <w:vMerge w:val="restart"/>
            <w:tcBorders>
              <w:top w:val="single" w:sz="8" w:space="0" w:color="auto"/>
              <w:left w:val="single" w:sz="8" w:space="0" w:color="auto"/>
              <w:bottom w:val="single" w:sz="8" w:space="0" w:color="000000" w:themeColor="text1"/>
              <w:right w:val="single" w:sz="8" w:space="0" w:color="auto"/>
            </w:tcBorders>
            <w:shd w:val="clear" w:color="auto" w:fill="D0CECE"/>
            <w:vAlign w:val="center"/>
          </w:tcPr>
          <w:p w14:paraId="4B9E9DDC" w14:textId="77777777" w:rsidR="0CFBF26B" w:rsidRDefault="00162F2E" w:rsidP="0CFBF26B">
            <w:pPr>
              <w:jc w:val="center"/>
            </w:pPr>
            <w:r w:rsidRPr="0CFBF26B">
              <w:rPr>
                <w:rFonts w:eastAsia="Arial" w:cs="Arial"/>
                <w:b/>
                <w:bCs/>
                <w:color w:val="000000" w:themeColor="text1"/>
                <w:sz w:val="20"/>
                <w:szCs w:val="20"/>
              </w:rPr>
              <w:t>Service Area</w:t>
            </w:r>
          </w:p>
        </w:tc>
        <w:tc>
          <w:tcPr>
            <w:tcW w:w="1371" w:type="dxa"/>
            <w:tcBorders>
              <w:top w:val="single" w:sz="8" w:space="0" w:color="auto"/>
              <w:left w:val="single" w:sz="8" w:space="0" w:color="auto"/>
              <w:bottom w:val="single" w:sz="8" w:space="0" w:color="auto"/>
              <w:right w:val="single" w:sz="8" w:space="0" w:color="auto"/>
            </w:tcBorders>
            <w:shd w:val="clear" w:color="auto" w:fill="D0CECE"/>
            <w:vAlign w:val="center"/>
          </w:tcPr>
          <w:p w14:paraId="1F1ADE5C" w14:textId="77777777" w:rsidR="0CFBF26B" w:rsidRDefault="00162F2E" w:rsidP="0CFBF26B">
            <w:pPr>
              <w:jc w:val="center"/>
            </w:pPr>
            <w:r w:rsidRPr="0CFBF26B">
              <w:rPr>
                <w:rFonts w:eastAsia="Arial" w:cs="Arial"/>
                <w:b/>
                <w:bCs/>
                <w:color w:val="000000" w:themeColor="text1"/>
                <w:sz w:val="20"/>
                <w:szCs w:val="20"/>
              </w:rPr>
              <w:t>Delivery Programme agreed Feb 21</w:t>
            </w:r>
          </w:p>
        </w:tc>
        <w:tc>
          <w:tcPr>
            <w:tcW w:w="1371" w:type="dxa"/>
            <w:tcBorders>
              <w:top w:val="single" w:sz="8" w:space="0" w:color="auto"/>
              <w:left w:val="single" w:sz="8" w:space="0" w:color="auto"/>
              <w:bottom w:val="single" w:sz="8" w:space="0" w:color="auto"/>
              <w:right w:val="single" w:sz="8" w:space="0" w:color="auto"/>
            </w:tcBorders>
            <w:shd w:val="clear" w:color="auto" w:fill="D0CECE"/>
            <w:vAlign w:val="center"/>
          </w:tcPr>
          <w:p w14:paraId="64D1364D" w14:textId="77777777" w:rsidR="0CFBF26B" w:rsidRDefault="00162F2E" w:rsidP="0CFBF26B">
            <w:pPr>
              <w:jc w:val="center"/>
            </w:pPr>
            <w:r w:rsidRPr="0CFBF26B">
              <w:rPr>
                <w:rFonts w:eastAsia="Arial" w:cs="Arial"/>
                <w:b/>
                <w:bCs/>
                <w:color w:val="000000" w:themeColor="text1"/>
                <w:sz w:val="20"/>
                <w:szCs w:val="20"/>
              </w:rPr>
              <w:t>Decisions</w:t>
            </w:r>
          </w:p>
        </w:tc>
        <w:tc>
          <w:tcPr>
            <w:tcW w:w="1371" w:type="dxa"/>
            <w:tcBorders>
              <w:top w:val="single" w:sz="8" w:space="0" w:color="auto"/>
              <w:left w:val="single" w:sz="8" w:space="0" w:color="auto"/>
              <w:bottom w:val="single" w:sz="8" w:space="0" w:color="auto"/>
              <w:right w:val="single" w:sz="8" w:space="0" w:color="auto"/>
            </w:tcBorders>
            <w:shd w:val="clear" w:color="auto" w:fill="D0CECE"/>
            <w:vAlign w:val="center"/>
          </w:tcPr>
          <w:p w14:paraId="491D21BB" w14:textId="77777777" w:rsidR="0CFBF26B" w:rsidRDefault="00162F2E" w:rsidP="0CFBF26B">
            <w:pPr>
              <w:jc w:val="center"/>
            </w:pPr>
            <w:r w:rsidRPr="0CFBF26B">
              <w:rPr>
                <w:rFonts w:eastAsia="Arial" w:cs="Arial"/>
                <w:b/>
                <w:bCs/>
                <w:color w:val="000000" w:themeColor="text1"/>
                <w:sz w:val="20"/>
                <w:szCs w:val="20"/>
              </w:rPr>
              <w:t>Changes to planned delivery</w:t>
            </w:r>
          </w:p>
        </w:tc>
        <w:tc>
          <w:tcPr>
            <w:tcW w:w="1371" w:type="dxa"/>
            <w:tcBorders>
              <w:top w:val="single" w:sz="8" w:space="0" w:color="auto"/>
              <w:left w:val="single" w:sz="8" w:space="0" w:color="auto"/>
              <w:bottom w:val="single" w:sz="8" w:space="0" w:color="auto"/>
              <w:right w:val="single" w:sz="8" w:space="0" w:color="auto"/>
            </w:tcBorders>
            <w:shd w:val="clear" w:color="auto" w:fill="D0CECE"/>
            <w:vAlign w:val="center"/>
          </w:tcPr>
          <w:p w14:paraId="7DA3E323" w14:textId="77777777" w:rsidR="0CFBF26B" w:rsidRDefault="00162F2E" w:rsidP="0CFBF26B">
            <w:pPr>
              <w:jc w:val="center"/>
            </w:pPr>
            <w:r w:rsidRPr="0CFBF26B">
              <w:rPr>
                <w:rFonts w:eastAsia="Arial" w:cs="Arial"/>
                <w:b/>
                <w:bCs/>
                <w:color w:val="000000" w:themeColor="text1"/>
                <w:sz w:val="20"/>
                <w:szCs w:val="20"/>
              </w:rPr>
              <w:t>Total Delivery Plan for Monitoring</w:t>
            </w:r>
          </w:p>
        </w:tc>
      </w:tr>
      <w:tr w:rsidR="006E5B54" w14:paraId="071D1106" w14:textId="77777777" w:rsidTr="0CFBF26B">
        <w:trPr>
          <w:trHeight w:val="195"/>
        </w:trPr>
        <w:tc>
          <w:tcPr>
            <w:tcW w:w="3007" w:type="dxa"/>
            <w:vMerge/>
            <w:tcBorders>
              <w:left w:val="single" w:sz="0" w:space="0" w:color="auto"/>
              <w:bottom w:val="single" w:sz="0" w:space="0" w:color="000000" w:themeColor="text1"/>
              <w:right w:val="single" w:sz="0" w:space="0" w:color="auto"/>
            </w:tcBorders>
            <w:vAlign w:val="center"/>
          </w:tcPr>
          <w:p w14:paraId="28963B1E" w14:textId="77777777" w:rsidR="00B50DF7" w:rsidRDefault="00B50DF7"/>
        </w:tc>
        <w:tc>
          <w:tcPr>
            <w:tcW w:w="1371" w:type="dxa"/>
            <w:tcBorders>
              <w:top w:val="single" w:sz="8" w:space="0" w:color="auto"/>
              <w:left w:val="nil"/>
              <w:bottom w:val="single" w:sz="8" w:space="0" w:color="auto"/>
              <w:right w:val="single" w:sz="8" w:space="0" w:color="auto"/>
            </w:tcBorders>
            <w:shd w:val="clear" w:color="auto" w:fill="D0CECE"/>
            <w:vAlign w:val="center"/>
          </w:tcPr>
          <w:p w14:paraId="2666BC93" w14:textId="77777777" w:rsidR="0CFBF26B" w:rsidRDefault="00162F2E" w:rsidP="0CFBF26B">
            <w:pPr>
              <w:jc w:val="center"/>
            </w:pPr>
            <w:r w:rsidRPr="0CFBF26B">
              <w:rPr>
                <w:rFonts w:eastAsia="Arial" w:cs="Arial"/>
                <w:b/>
                <w:bCs/>
                <w:color w:val="000000" w:themeColor="text1"/>
                <w:sz w:val="20"/>
                <w:szCs w:val="20"/>
              </w:rPr>
              <w:t>£m</w:t>
            </w:r>
          </w:p>
        </w:tc>
        <w:tc>
          <w:tcPr>
            <w:tcW w:w="1371" w:type="dxa"/>
            <w:tcBorders>
              <w:top w:val="single" w:sz="8" w:space="0" w:color="auto"/>
              <w:left w:val="single" w:sz="8" w:space="0" w:color="auto"/>
              <w:bottom w:val="single" w:sz="8" w:space="0" w:color="auto"/>
              <w:right w:val="single" w:sz="8" w:space="0" w:color="auto"/>
            </w:tcBorders>
            <w:shd w:val="clear" w:color="auto" w:fill="D0CECE"/>
            <w:vAlign w:val="center"/>
          </w:tcPr>
          <w:p w14:paraId="4E5D229A" w14:textId="77777777" w:rsidR="0CFBF26B" w:rsidRDefault="00162F2E" w:rsidP="0CFBF26B">
            <w:pPr>
              <w:jc w:val="center"/>
            </w:pPr>
            <w:r w:rsidRPr="0CFBF26B">
              <w:rPr>
                <w:rFonts w:eastAsia="Arial" w:cs="Arial"/>
                <w:b/>
                <w:bCs/>
                <w:color w:val="000000" w:themeColor="text1"/>
                <w:sz w:val="20"/>
                <w:szCs w:val="20"/>
              </w:rPr>
              <w:t>£m</w:t>
            </w:r>
          </w:p>
        </w:tc>
        <w:tc>
          <w:tcPr>
            <w:tcW w:w="1371" w:type="dxa"/>
            <w:tcBorders>
              <w:top w:val="single" w:sz="8" w:space="0" w:color="auto"/>
              <w:left w:val="single" w:sz="8" w:space="0" w:color="auto"/>
              <w:bottom w:val="single" w:sz="8" w:space="0" w:color="auto"/>
              <w:right w:val="single" w:sz="8" w:space="0" w:color="auto"/>
            </w:tcBorders>
            <w:shd w:val="clear" w:color="auto" w:fill="D0CECE"/>
            <w:vAlign w:val="center"/>
          </w:tcPr>
          <w:p w14:paraId="6605478F" w14:textId="77777777" w:rsidR="0CFBF26B" w:rsidRDefault="00162F2E" w:rsidP="0CFBF26B">
            <w:pPr>
              <w:jc w:val="center"/>
            </w:pPr>
            <w:r w:rsidRPr="0CFBF26B">
              <w:rPr>
                <w:rFonts w:eastAsia="Arial" w:cs="Arial"/>
                <w:b/>
                <w:bCs/>
                <w:color w:val="000000" w:themeColor="text1"/>
                <w:sz w:val="20"/>
                <w:szCs w:val="20"/>
              </w:rPr>
              <w:t>£m</w:t>
            </w:r>
          </w:p>
        </w:tc>
        <w:tc>
          <w:tcPr>
            <w:tcW w:w="1371" w:type="dxa"/>
            <w:tcBorders>
              <w:top w:val="single" w:sz="8" w:space="0" w:color="auto"/>
              <w:left w:val="single" w:sz="8" w:space="0" w:color="auto"/>
              <w:bottom w:val="single" w:sz="8" w:space="0" w:color="auto"/>
              <w:right w:val="single" w:sz="8" w:space="0" w:color="auto"/>
            </w:tcBorders>
            <w:shd w:val="clear" w:color="auto" w:fill="D0CECE"/>
            <w:vAlign w:val="center"/>
          </w:tcPr>
          <w:p w14:paraId="73971C14" w14:textId="77777777" w:rsidR="0CFBF26B" w:rsidRDefault="00162F2E" w:rsidP="0CFBF26B">
            <w:pPr>
              <w:jc w:val="center"/>
            </w:pPr>
            <w:r w:rsidRPr="0CFBF26B">
              <w:rPr>
                <w:rFonts w:eastAsia="Arial" w:cs="Arial"/>
                <w:b/>
                <w:bCs/>
                <w:color w:val="000000" w:themeColor="text1"/>
                <w:sz w:val="20"/>
                <w:szCs w:val="20"/>
              </w:rPr>
              <w:t>£m</w:t>
            </w:r>
          </w:p>
        </w:tc>
      </w:tr>
      <w:tr w:rsidR="006E5B54" w14:paraId="3EBDD495" w14:textId="77777777" w:rsidTr="0CFBF26B">
        <w:trPr>
          <w:trHeight w:val="285"/>
        </w:trPr>
        <w:tc>
          <w:tcPr>
            <w:tcW w:w="3007" w:type="dxa"/>
            <w:tcBorders>
              <w:top w:val="nil"/>
              <w:left w:val="single" w:sz="8" w:space="0" w:color="auto"/>
              <w:bottom w:val="single" w:sz="8" w:space="0" w:color="auto"/>
              <w:right w:val="single" w:sz="8" w:space="0" w:color="auto"/>
            </w:tcBorders>
            <w:vAlign w:val="center"/>
          </w:tcPr>
          <w:p w14:paraId="0122BA12" w14:textId="77777777" w:rsidR="0CFBF26B" w:rsidRDefault="00162F2E" w:rsidP="0CFBF26B">
            <w:r w:rsidRPr="0CFBF26B">
              <w:rPr>
                <w:rFonts w:eastAsia="Arial" w:cs="Arial"/>
                <w:color w:val="000000" w:themeColor="text1"/>
                <w:sz w:val="20"/>
                <w:szCs w:val="20"/>
              </w:rPr>
              <w:t>Schools (including DFC)</w:t>
            </w:r>
          </w:p>
        </w:tc>
        <w:tc>
          <w:tcPr>
            <w:tcW w:w="1371" w:type="dxa"/>
            <w:tcBorders>
              <w:top w:val="single" w:sz="8" w:space="0" w:color="auto"/>
              <w:left w:val="single" w:sz="8" w:space="0" w:color="auto"/>
              <w:bottom w:val="single" w:sz="8" w:space="0" w:color="auto"/>
              <w:right w:val="single" w:sz="8" w:space="0" w:color="auto"/>
            </w:tcBorders>
            <w:vAlign w:val="center"/>
          </w:tcPr>
          <w:p w14:paraId="2C49026E" w14:textId="77777777" w:rsidR="0CFBF26B" w:rsidRDefault="00162F2E" w:rsidP="0CFBF26B">
            <w:pPr>
              <w:jc w:val="right"/>
            </w:pPr>
            <w:r w:rsidRPr="0CFBF26B">
              <w:rPr>
                <w:rFonts w:eastAsia="Arial" w:cs="Arial"/>
                <w:color w:val="000000" w:themeColor="text1"/>
                <w:sz w:val="20"/>
                <w:szCs w:val="20"/>
              </w:rPr>
              <w:t>24.157</w:t>
            </w:r>
          </w:p>
        </w:tc>
        <w:tc>
          <w:tcPr>
            <w:tcW w:w="1371" w:type="dxa"/>
            <w:tcBorders>
              <w:top w:val="single" w:sz="8" w:space="0" w:color="auto"/>
              <w:left w:val="single" w:sz="8" w:space="0" w:color="auto"/>
              <w:bottom w:val="single" w:sz="8" w:space="0" w:color="auto"/>
              <w:right w:val="single" w:sz="8" w:space="0" w:color="auto"/>
            </w:tcBorders>
            <w:vAlign w:val="center"/>
          </w:tcPr>
          <w:p w14:paraId="07EF1127" w14:textId="77777777" w:rsidR="0CFBF26B" w:rsidRDefault="00162F2E" w:rsidP="0CFBF26B">
            <w:pPr>
              <w:jc w:val="right"/>
            </w:pPr>
            <w:r w:rsidRPr="0CFBF26B">
              <w:rPr>
                <w:rFonts w:eastAsia="Arial" w:cs="Arial"/>
                <w:color w:val="000000" w:themeColor="text1"/>
                <w:sz w:val="20"/>
                <w:szCs w:val="20"/>
              </w:rPr>
              <w:t>21.177</w:t>
            </w:r>
          </w:p>
        </w:tc>
        <w:tc>
          <w:tcPr>
            <w:tcW w:w="1371" w:type="dxa"/>
            <w:tcBorders>
              <w:top w:val="single" w:sz="8" w:space="0" w:color="auto"/>
              <w:left w:val="single" w:sz="8" w:space="0" w:color="auto"/>
              <w:bottom w:val="single" w:sz="8" w:space="0" w:color="auto"/>
              <w:right w:val="single" w:sz="8" w:space="0" w:color="auto"/>
            </w:tcBorders>
            <w:vAlign w:val="center"/>
          </w:tcPr>
          <w:p w14:paraId="7971C651" w14:textId="77777777" w:rsidR="0CFBF26B" w:rsidRDefault="00162F2E" w:rsidP="0CFBF26B">
            <w:pPr>
              <w:jc w:val="right"/>
            </w:pPr>
            <w:r w:rsidRPr="0CFBF26B">
              <w:rPr>
                <w:rFonts w:eastAsia="Arial" w:cs="Arial"/>
                <w:color w:val="000000" w:themeColor="text1"/>
                <w:sz w:val="20"/>
                <w:szCs w:val="20"/>
              </w:rPr>
              <w:t>-19.378</w:t>
            </w:r>
          </w:p>
        </w:tc>
        <w:tc>
          <w:tcPr>
            <w:tcW w:w="1371" w:type="dxa"/>
            <w:tcBorders>
              <w:top w:val="single" w:sz="8" w:space="0" w:color="auto"/>
              <w:left w:val="single" w:sz="8" w:space="0" w:color="auto"/>
              <w:bottom w:val="single" w:sz="8" w:space="0" w:color="auto"/>
              <w:right w:val="single" w:sz="8" w:space="0" w:color="auto"/>
            </w:tcBorders>
            <w:vAlign w:val="center"/>
          </w:tcPr>
          <w:p w14:paraId="1CD1FC04" w14:textId="77777777" w:rsidR="0CFBF26B" w:rsidRDefault="00162F2E" w:rsidP="0CFBF26B">
            <w:pPr>
              <w:jc w:val="right"/>
            </w:pPr>
            <w:r w:rsidRPr="0CFBF26B">
              <w:rPr>
                <w:rFonts w:eastAsia="Arial" w:cs="Arial"/>
                <w:color w:val="000000" w:themeColor="text1"/>
                <w:sz w:val="20"/>
                <w:szCs w:val="20"/>
              </w:rPr>
              <w:t>25.956</w:t>
            </w:r>
          </w:p>
        </w:tc>
      </w:tr>
      <w:tr w:rsidR="006E5B54" w14:paraId="05910E88" w14:textId="77777777" w:rsidTr="0CFBF26B">
        <w:trPr>
          <w:trHeight w:val="285"/>
        </w:trPr>
        <w:tc>
          <w:tcPr>
            <w:tcW w:w="3007" w:type="dxa"/>
            <w:tcBorders>
              <w:top w:val="single" w:sz="8" w:space="0" w:color="auto"/>
              <w:left w:val="single" w:sz="8" w:space="0" w:color="auto"/>
              <w:bottom w:val="single" w:sz="8" w:space="0" w:color="000000" w:themeColor="text1"/>
              <w:right w:val="single" w:sz="8" w:space="0" w:color="auto"/>
            </w:tcBorders>
            <w:vAlign w:val="center"/>
          </w:tcPr>
          <w:p w14:paraId="13913BA3" w14:textId="77777777" w:rsidR="0CFBF26B" w:rsidRDefault="00162F2E" w:rsidP="0CFBF26B">
            <w:r w:rsidRPr="0CFBF26B">
              <w:rPr>
                <w:rFonts w:eastAsia="Arial" w:cs="Arial"/>
                <w:color w:val="000000" w:themeColor="text1"/>
                <w:sz w:val="20"/>
                <w:szCs w:val="20"/>
              </w:rPr>
              <w:t>Highways</w:t>
            </w:r>
          </w:p>
        </w:tc>
        <w:tc>
          <w:tcPr>
            <w:tcW w:w="1371" w:type="dxa"/>
            <w:tcBorders>
              <w:top w:val="single" w:sz="8" w:space="0" w:color="auto"/>
              <w:left w:val="single" w:sz="8" w:space="0" w:color="auto"/>
              <w:bottom w:val="single" w:sz="8" w:space="0" w:color="auto"/>
              <w:right w:val="single" w:sz="8" w:space="0" w:color="auto"/>
            </w:tcBorders>
            <w:vAlign w:val="center"/>
          </w:tcPr>
          <w:p w14:paraId="45A99815" w14:textId="77777777" w:rsidR="0CFBF26B" w:rsidRDefault="00162F2E" w:rsidP="0CFBF26B">
            <w:pPr>
              <w:jc w:val="right"/>
            </w:pPr>
            <w:r w:rsidRPr="0CFBF26B">
              <w:rPr>
                <w:rFonts w:eastAsia="Arial" w:cs="Arial"/>
                <w:color w:val="000000" w:themeColor="text1"/>
                <w:sz w:val="20"/>
                <w:szCs w:val="20"/>
              </w:rPr>
              <w:t>43.970</w:t>
            </w:r>
          </w:p>
        </w:tc>
        <w:tc>
          <w:tcPr>
            <w:tcW w:w="1371" w:type="dxa"/>
            <w:tcBorders>
              <w:top w:val="single" w:sz="8" w:space="0" w:color="auto"/>
              <w:left w:val="single" w:sz="8" w:space="0" w:color="auto"/>
              <w:bottom w:val="single" w:sz="8" w:space="0" w:color="auto"/>
              <w:right w:val="single" w:sz="8" w:space="0" w:color="auto"/>
            </w:tcBorders>
            <w:vAlign w:val="center"/>
          </w:tcPr>
          <w:p w14:paraId="163C3C7E" w14:textId="77777777" w:rsidR="0CFBF26B" w:rsidRDefault="00162F2E" w:rsidP="0CFBF26B">
            <w:pPr>
              <w:jc w:val="right"/>
            </w:pPr>
            <w:r w:rsidRPr="0CFBF26B">
              <w:rPr>
                <w:rFonts w:eastAsia="Arial" w:cs="Arial"/>
                <w:color w:val="000000" w:themeColor="text1"/>
                <w:sz w:val="20"/>
                <w:szCs w:val="20"/>
              </w:rPr>
              <w:t>64.471</w:t>
            </w:r>
          </w:p>
        </w:tc>
        <w:tc>
          <w:tcPr>
            <w:tcW w:w="1371" w:type="dxa"/>
            <w:tcBorders>
              <w:top w:val="single" w:sz="8" w:space="0" w:color="auto"/>
              <w:left w:val="single" w:sz="8" w:space="0" w:color="auto"/>
              <w:bottom w:val="single" w:sz="8" w:space="0" w:color="auto"/>
              <w:right w:val="single" w:sz="8" w:space="0" w:color="auto"/>
            </w:tcBorders>
            <w:vAlign w:val="center"/>
          </w:tcPr>
          <w:p w14:paraId="1FE95F9A" w14:textId="77777777" w:rsidR="0CFBF26B" w:rsidRDefault="00162F2E" w:rsidP="0CFBF26B">
            <w:pPr>
              <w:jc w:val="right"/>
            </w:pPr>
            <w:r w:rsidRPr="0CFBF26B">
              <w:rPr>
                <w:rFonts w:eastAsia="Arial" w:cs="Arial"/>
                <w:color w:val="000000" w:themeColor="text1"/>
                <w:sz w:val="20"/>
                <w:szCs w:val="20"/>
              </w:rPr>
              <w:t>-54.508</w:t>
            </w:r>
          </w:p>
        </w:tc>
        <w:tc>
          <w:tcPr>
            <w:tcW w:w="1371" w:type="dxa"/>
            <w:tcBorders>
              <w:top w:val="single" w:sz="8" w:space="0" w:color="auto"/>
              <w:left w:val="single" w:sz="8" w:space="0" w:color="auto"/>
              <w:bottom w:val="single" w:sz="8" w:space="0" w:color="auto"/>
              <w:right w:val="single" w:sz="8" w:space="0" w:color="auto"/>
            </w:tcBorders>
            <w:vAlign w:val="center"/>
          </w:tcPr>
          <w:p w14:paraId="570568C4" w14:textId="77777777" w:rsidR="0CFBF26B" w:rsidRDefault="00162F2E" w:rsidP="0CFBF26B">
            <w:pPr>
              <w:jc w:val="right"/>
            </w:pPr>
            <w:r w:rsidRPr="0CFBF26B">
              <w:rPr>
                <w:rFonts w:eastAsia="Arial" w:cs="Arial"/>
                <w:color w:val="000000" w:themeColor="text1"/>
                <w:sz w:val="20"/>
                <w:szCs w:val="20"/>
              </w:rPr>
              <w:t>53.933</w:t>
            </w:r>
          </w:p>
        </w:tc>
      </w:tr>
      <w:tr w:rsidR="006E5B54" w14:paraId="61260DFE" w14:textId="77777777" w:rsidTr="0CFBF26B">
        <w:trPr>
          <w:trHeight w:val="285"/>
        </w:trPr>
        <w:tc>
          <w:tcPr>
            <w:tcW w:w="3007" w:type="dxa"/>
            <w:tcBorders>
              <w:top w:val="single" w:sz="8" w:space="0" w:color="auto"/>
              <w:left w:val="single" w:sz="8" w:space="0" w:color="auto"/>
              <w:bottom w:val="single" w:sz="8" w:space="0" w:color="auto"/>
              <w:right w:val="single" w:sz="8" w:space="0" w:color="auto"/>
            </w:tcBorders>
            <w:vAlign w:val="center"/>
          </w:tcPr>
          <w:p w14:paraId="28E73D64" w14:textId="77777777" w:rsidR="0CFBF26B" w:rsidRDefault="00162F2E" w:rsidP="0CFBF26B">
            <w:r w:rsidRPr="0CFBF26B">
              <w:rPr>
                <w:rFonts w:eastAsia="Arial" w:cs="Arial"/>
                <w:color w:val="000000" w:themeColor="text1"/>
                <w:sz w:val="20"/>
                <w:szCs w:val="20"/>
              </w:rPr>
              <w:t>Transport</w:t>
            </w:r>
          </w:p>
        </w:tc>
        <w:tc>
          <w:tcPr>
            <w:tcW w:w="1371" w:type="dxa"/>
            <w:tcBorders>
              <w:top w:val="single" w:sz="8" w:space="0" w:color="auto"/>
              <w:left w:val="single" w:sz="8" w:space="0" w:color="auto"/>
              <w:bottom w:val="single" w:sz="8" w:space="0" w:color="auto"/>
              <w:right w:val="single" w:sz="8" w:space="0" w:color="auto"/>
            </w:tcBorders>
            <w:vAlign w:val="center"/>
          </w:tcPr>
          <w:p w14:paraId="4A2AF1D4" w14:textId="77777777" w:rsidR="0CFBF26B" w:rsidRDefault="00162F2E" w:rsidP="0CFBF26B">
            <w:pPr>
              <w:jc w:val="right"/>
            </w:pPr>
            <w:r w:rsidRPr="0CFBF26B">
              <w:rPr>
                <w:rFonts w:eastAsia="Arial" w:cs="Arial"/>
                <w:color w:val="000000" w:themeColor="text1"/>
                <w:sz w:val="20"/>
                <w:szCs w:val="20"/>
              </w:rPr>
              <w:t>13.665</w:t>
            </w:r>
          </w:p>
        </w:tc>
        <w:tc>
          <w:tcPr>
            <w:tcW w:w="1371" w:type="dxa"/>
            <w:tcBorders>
              <w:top w:val="single" w:sz="8" w:space="0" w:color="auto"/>
              <w:left w:val="single" w:sz="8" w:space="0" w:color="auto"/>
              <w:bottom w:val="single" w:sz="8" w:space="0" w:color="auto"/>
              <w:right w:val="single" w:sz="8" w:space="0" w:color="auto"/>
            </w:tcBorders>
            <w:vAlign w:val="center"/>
          </w:tcPr>
          <w:p w14:paraId="6C8C3D4F" w14:textId="77777777" w:rsidR="0CFBF26B" w:rsidRDefault="00162F2E" w:rsidP="0CFBF26B">
            <w:pPr>
              <w:jc w:val="right"/>
            </w:pPr>
            <w:r w:rsidRPr="0CFBF26B">
              <w:rPr>
                <w:rFonts w:eastAsia="Arial" w:cs="Arial"/>
                <w:color w:val="000000" w:themeColor="text1"/>
                <w:sz w:val="20"/>
                <w:szCs w:val="20"/>
              </w:rPr>
              <w:t>4.562</w:t>
            </w:r>
          </w:p>
        </w:tc>
        <w:tc>
          <w:tcPr>
            <w:tcW w:w="1371" w:type="dxa"/>
            <w:tcBorders>
              <w:top w:val="single" w:sz="8" w:space="0" w:color="auto"/>
              <w:left w:val="single" w:sz="8" w:space="0" w:color="auto"/>
              <w:bottom w:val="single" w:sz="8" w:space="0" w:color="auto"/>
              <w:right w:val="single" w:sz="8" w:space="0" w:color="auto"/>
            </w:tcBorders>
            <w:vAlign w:val="center"/>
          </w:tcPr>
          <w:p w14:paraId="5B190419" w14:textId="77777777" w:rsidR="0CFBF26B" w:rsidRDefault="00162F2E" w:rsidP="0CFBF26B">
            <w:pPr>
              <w:jc w:val="right"/>
            </w:pPr>
            <w:r w:rsidRPr="0CFBF26B">
              <w:rPr>
                <w:rFonts w:eastAsia="Arial" w:cs="Arial"/>
                <w:color w:val="000000" w:themeColor="text1"/>
                <w:sz w:val="20"/>
                <w:szCs w:val="20"/>
              </w:rPr>
              <w:t>-2.269</w:t>
            </w:r>
          </w:p>
        </w:tc>
        <w:tc>
          <w:tcPr>
            <w:tcW w:w="1371" w:type="dxa"/>
            <w:tcBorders>
              <w:top w:val="single" w:sz="8" w:space="0" w:color="auto"/>
              <w:left w:val="single" w:sz="8" w:space="0" w:color="auto"/>
              <w:bottom w:val="single" w:sz="8" w:space="0" w:color="auto"/>
              <w:right w:val="single" w:sz="8" w:space="0" w:color="auto"/>
            </w:tcBorders>
            <w:vAlign w:val="center"/>
          </w:tcPr>
          <w:p w14:paraId="69BF0B6C" w14:textId="77777777" w:rsidR="0CFBF26B" w:rsidRDefault="00162F2E" w:rsidP="0CFBF26B">
            <w:pPr>
              <w:jc w:val="right"/>
            </w:pPr>
            <w:r w:rsidRPr="0CFBF26B">
              <w:rPr>
                <w:rFonts w:eastAsia="Arial" w:cs="Arial"/>
                <w:color w:val="000000" w:themeColor="text1"/>
                <w:sz w:val="20"/>
                <w:szCs w:val="20"/>
              </w:rPr>
              <w:t>15.958</w:t>
            </w:r>
          </w:p>
        </w:tc>
      </w:tr>
      <w:tr w:rsidR="006E5B54" w14:paraId="605FA54E" w14:textId="77777777" w:rsidTr="0CFBF26B">
        <w:trPr>
          <w:trHeight w:val="285"/>
        </w:trPr>
        <w:tc>
          <w:tcPr>
            <w:tcW w:w="3007" w:type="dxa"/>
            <w:tcBorders>
              <w:top w:val="single" w:sz="8" w:space="0" w:color="auto"/>
              <w:left w:val="single" w:sz="8" w:space="0" w:color="auto"/>
              <w:bottom w:val="single" w:sz="8" w:space="0" w:color="auto"/>
              <w:right w:val="single" w:sz="8" w:space="0" w:color="auto"/>
            </w:tcBorders>
            <w:vAlign w:val="center"/>
          </w:tcPr>
          <w:p w14:paraId="0BF3A85C" w14:textId="77777777" w:rsidR="0CFBF26B" w:rsidRDefault="00162F2E" w:rsidP="0CFBF26B">
            <w:r w:rsidRPr="0CFBF26B">
              <w:rPr>
                <w:rFonts w:eastAsia="Arial" w:cs="Arial"/>
                <w:color w:val="000000" w:themeColor="text1"/>
                <w:sz w:val="20"/>
                <w:szCs w:val="20"/>
              </w:rPr>
              <w:t>Externally Funded Schemes</w:t>
            </w:r>
          </w:p>
        </w:tc>
        <w:tc>
          <w:tcPr>
            <w:tcW w:w="1371" w:type="dxa"/>
            <w:tcBorders>
              <w:top w:val="single" w:sz="8" w:space="0" w:color="auto"/>
              <w:left w:val="single" w:sz="8" w:space="0" w:color="auto"/>
              <w:bottom w:val="single" w:sz="8" w:space="0" w:color="auto"/>
              <w:right w:val="single" w:sz="8" w:space="0" w:color="auto"/>
            </w:tcBorders>
            <w:vAlign w:val="center"/>
          </w:tcPr>
          <w:p w14:paraId="1D8E9828" w14:textId="77777777" w:rsidR="0CFBF26B" w:rsidRDefault="00162F2E" w:rsidP="0CFBF26B">
            <w:pPr>
              <w:jc w:val="right"/>
            </w:pPr>
            <w:r w:rsidRPr="0CFBF26B">
              <w:rPr>
                <w:rFonts w:eastAsia="Arial" w:cs="Arial"/>
                <w:color w:val="000000" w:themeColor="text1"/>
                <w:sz w:val="20"/>
                <w:szCs w:val="20"/>
              </w:rPr>
              <w:t>5.430</w:t>
            </w:r>
          </w:p>
        </w:tc>
        <w:tc>
          <w:tcPr>
            <w:tcW w:w="1371" w:type="dxa"/>
            <w:tcBorders>
              <w:top w:val="single" w:sz="8" w:space="0" w:color="auto"/>
              <w:left w:val="single" w:sz="8" w:space="0" w:color="auto"/>
              <w:bottom w:val="single" w:sz="8" w:space="0" w:color="auto"/>
              <w:right w:val="single" w:sz="8" w:space="0" w:color="auto"/>
            </w:tcBorders>
            <w:vAlign w:val="center"/>
          </w:tcPr>
          <w:p w14:paraId="026FFBFE" w14:textId="77777777" w:rsidR="0CFBF26B" w:rsidRDefault="00162F2E" w:rsidP="0CFBF26B">
            <w:pPr>
              <w:jc w:val="right"/>
            </w:pPr>
            <w:r w:rsidRPr="0CFBF26B">
              <w:rPr>
                <w:rFonts w:eastAsia="Arial" w:cs="Arial"/>
                <w:color w:val="000000" w:themeColor="text1"/>
                <w:sz w:val="20"/>
                <w:szCs w:val="20"/>
              </w:rPr>
              <w:t>1.477</w:t>
            </w:r>
          </w:p>
        </w:tc>
        <w:tc>
          <w:tcPr>
            <w:tcW w:w="1371" w:type="dxa"/>
            <w:tcBorders>
              <w:top w:val="single" w:sz="8" w:space="0" w:color="auto"/>
              <w:left w:val="single" w:sz="8" w:space="0" w:color="auto"/>
              <w:bottom w:val="single" w:sz="8" w:space="0" w:color="auto"/>
              <w:right w:val="single" w:sz="8" w:space="0" w:color="auto"/>
            </w:tcBorders>
            <w:vAlign w:val="center"/>
          </w:tcPr>
          <w:p w14:paraId="1D23015D" w14:textId="77777777" w:rsidR="0CFBF26B" w:rsidRDefault="00162F2E" w:rsidP="0CFBF26B">
            <w:pPr>
              <w:jc w:val="right"/>
            </w:pPr>
            <w:r w:rsidRPr="0CFBF26B">
              <w:rPr>
                <w:rFonts w:eastAsia="Arial" w:cs="Arial"/>
                <w:color w:val="000000" w:themeColor="text1"/>
                <w:sz w:val="20"/>
                <w:szCs w:val="20"/>
              </w:rPr>
              <w:t>0.525</w:t>
            </w:r>
          </w:p>
        </w:tc>
        <w:tc>
          <w:tcPr>
            <w:tcW w:w="1371" w:type="dxa"/>
            <w:tcBorders>
              <w:top w:val="single" w:sz="8" w:space="0" w:color="auto"/>
              <w:left w:val="single" w:sz="8" w:space="0" w:color="auto"/>
              <w:bottom w:val="single" w:sz="8" w:space="0" w:color="auto"/>
              <w:right w:val="single" w:sz="8" w:space="0" w:color="auto"/>
            </w:tcBorders>
            <w:vAlign w:val="center"/>
          </w:tcPr>
          <w:p w14:paraId="62F80834" w14:textId="77777777" w:rsidR="0CFBF26B" w:rsidRDefault="00162F2E" w:rsidP="0CFBF26B">
            <w:pPr>
              <w:jc w:val="right"/>
            </w:pPr>
            <w:r w:rsidRPr="0CFBF26B">
              <w:rPr>
                <w:rFonts w:eastAsia="Arial" w:cs="Arial"/>
                <w:color w:val="000000" w:themeColor="text1"/>
                <w:sz w:val="20"/>
                <w:szCs w:val="20"/>
              </w:rPr>
              <w:t>7.432</w:t>
            </w:r>
          </w:p>
        </w:tc>
      </w:tr>
      <w:tr w:rsidR="006E5B54" w14:paraId="0B3CE92C" w14:textId="77777777" w:rsidTr="0CFBF26B">
        <w:trPr>
          <w:trHeight w:val="285"/>
        </w:trPr>
        <w:tc>
          <w:tcPr>
            <w:tcW w:w="3007" w:type="dxa"/>
            <w:tcBorders>
              <w:top w:val="single" w:sz="8" w:space="0" w:color="auto"/>
              <w:left w:val="single" w:sz="8" w:space="0" w:color="auto"/>
              <w:bottom w:val="single" w:sz="8" w:space="0" w:color="auto"/>
              <w:right w:val="single" w:sz="8" w:space="0" w:color="auto"/>
            </w:tcBorders>
            <w:vAlign w:val="center"/>
          </w:tcPr>
          <w:p w14:paraId="50558930" w14:textId="77777777" w:rsidR="0CFBF26B" w:rsidRDefault="00162F2E" w:rsidP="0CFBF26B">
            <w:r w:rsidRPr="0CFBF26B">
              <w:rPr>
                <w:rFonts w:eastAsia="Arial" w:cs="Arial"/>
                <w:color w:val="000000" w:themeColor="text1"/>
                <w:sz w:val="20"/>
                <w:szCs w:val="20"/>
              </w:rPr>
              <w:t>Central Systems &amp; ICT</w:t>
            </w:r>
          </w:p>
        </w:tc>
        <w:tc>
          <w:tcPr>
            <w:tcW w:w="1371" w:type="dxa"/>
            <w:tcBorders>
              <w:top w:val="single" w:sz="8" w:space="0" w:color="auto"/>
              <w:left w:val="single" w:sz="8" w:space="0" w:color="auto"/>
              <w:bottom w:val="single" w:sz="8" w:space="0" w:color="auto"/>
              <w:right w:val="single" w:sz="8" w:space="0" w:color="auto"/>
            </w:tcBorders>
            <w:vAlign w:val="center"/>
          </w:tcPr>
          <w:p w14:paraId="7C7CC6D5" w14:textId="77777777" w:rsidR="0CFBF26B" w:rsidRDefault="00162F2E" w:rsidP="0CFBF26B">
            <w:pPr>
              <w:jc w:val="right"/>
            </w:pPr>
            <w:r w:rsidRPr="0CFBF26B">
              <w:rPr>
                <w:rFonts w:eastAsia="Arial" w:cs="Arial"/>
                <w:color w:val="000000" w:themeColor="text1"/>
                <w:sz w:val="20"/>
                <w:szCs w:val="20"/>
              </w:rPr>
              <w:t>0.000</w:t>
            </w:r>
          </w:p>
        </w:tc>
        <w:tc>
          <w:tcPr>
            <w:tcW w:w="1371" w:type="dxa"/>
            <w:tcBorders>
              <w:top w:val="single" w:sz="8" w:space="0" w:color="auto"/>
              <w:left w:val="single" w:sz="8" w:space="0" w:color="auto"/>
              <w:bottom w:val="single" w:sz="8" w:space="0" w:color="auto"/>
              <w:right w:val="single" w:sz="8" w:space="0" w:color="auto"/>
            </w:tcBorders>
            <w:vAlign w:val="center"/>
          </w:tcPr>
          <w:p w14:paraId="59E4D5C2" w14:textId="77777777" w:rsidR="0CFBF26B" w:rsidRDefault="00162F2E" w:rsidP="0CFBF26B">
            <w:pPr>
              <w:jc w:val="right"/>
            </w:pPr>
            <w:r w:rsidRPr="0CFBF26B">
              <w:rPr>
                <w:rFonts w:eastAsia="Arial" w:cs="Arial"/>
                <w:color w:val="000000" w:themeColor="text1"/>
                <w:sz w:val="20"/>
                <w:szCs w:val="20"/>
              </w:rPr>
              <w:t>5.000</w:t>
            </w:r>
          </w:p>
        </w:tc>
        <w:tc>
          <w:tcPr>
            <w:tcW w:w="1371" w:type="dxa"/>
            <w:tcBorders>
              <w:top w:val="single" w:sz="8" w:space="0" w:color="auto"/>
              <w:left w:val="single" w:sz="8" w:space="0" w:color="auto"/>
              <w:bottom w:val="single" w:sz="8" w:space="0" w:color="auto"/>
              <w:right w:val="single" w:sz="8" w:space="0" w:color="auto"/>
            </w:tcBorders>
            <w:vAlign w:val="center"/>
          </w:tcPr>
          <w:p w14:paraId="3AE96166" w14:textId="77777777" w:rsidR="0CFBF26B" w:rsidRDefault="00162F2E" w:rsidP="0CFBF26B">
            <w:pPr>
              <w:jc w:val="right"/>
            </w:pPr>
            <w:r w:rsidRPr="0CFBF26B">
              <w:rPr>
                <w:rFonts w:eastAsia="Arial" w:cs="Arial"/>
                <w:color w:val="000000" w:themeColor="text1"/>
                <w:sz w:val="20"/>
                <w:szCs w:val="20"/>
              </w:rPr>
              <w:t>7.656</w:t>
            </w:r>
          </w:p>
        </w:tc>
        <w:tc>
          <w:tcPr>
            <w:tcW w:w="1371" w:type="dxa"/>
            <w:tcBorders>
              <w:top w:val="single" w:sz="8" w:space="0" w:color="auto"/>
              <w:left w:val="single" w:sz="8" w:space="0" w:color="auto"/>
              <w:bottom w:val="single" w:sz="8" w:space="0" w:color="auto"/>
              <w:right w:val="single" w:sz="8" w:space="0" w:color="auto"/>
            </w:tcBorders>
            <w:vAlign w:val="center"/>
          </w:tcPr>
          <w:p w14:paraId="264A4B71" w14:textId="77777777" w:rsidR="0CFBF26B" w:rsidRDefault="00162F2E" w:rsidP="0CFBF26B">
            <w:pPr>
              <w:jc w:val="right"/>
            </w:pPr>
            <w:r w:rsidRPr="0CFBF26B">
              <w:rPr>
                <w:rFonts w:eastAsia="Arial" w:cs="Arial"/>
                <w:color w:val="000000" w:themeColor="text1"/>
                <w:sz w:val="20"/>
                <w:szCs w:val="20"/>
              </w:rPr>
              <w:t>12.656</w:t>
            </w:r>
          </w:p>
        </w:tc>
      </w:tr>
      <w:tr w:rsidR="006E5B54" w14:paraId="61F721F7" w14:textId="77777777" w:rsidTr="0CFBF26B">
        <w:trPr>
          <w:trHeight w:val="285"/>
        </w:trPr>
        <w:tc>
          <w:tcPr>
            <w:tcW w:w="3007" w:type="dxa"/>
            <w:tcBorders>
              <w:top w:val="single" w:sz="8" w:space="0" w:color="auto"/>
              <w:left w:val="single" w:sz="8" w:space="0" w:color="auto"/>
              <w:bottom w:val="single" w:sz="8" w:space="0" w:color="auto"/>
              <w:right w:val="single" w:sz="8" w:space="0" w:color="auto"/>
            </w:tcBorders>
            <w:vAlign w:val="center"/>
          </w:tcPr>
          <w:p w14:paraId="3AC9FC86" w14:textId="77777777" w:rsidR="0CFBF26B" w:rsidRDefault="00162F2E" w:rsidP="0CFBF26B">
            <w:r w:rsidRPr="0CFBF26B">
              <w:rPr>
                <w:rFonts w:eastAsia="Arial" w:cs="Arial"/>
                <w:color w:val="000000" w:themeColor="text1"/>
                <w:sz w:val="20"/>
                <w:szCs w:val="20"/>
              </w:rPr>
              <w:t>Adult Social Care</w:t>
            </w:r>
          </w:p>
        </w:tc>
        <w:tc>
          <w:tcPr>
            <w:tcW w:w="1371" w:type="dxa"/>
            <w:tcBorders>
              <w:top w:val="single" w:sz="8" w:space="0" w:color="auto"/>
              <w:left w:val="single" w:sz="8" w:space="0" w:color="auto"/>
              <w:bottom w:val="single" w:sz="8" w:space="0" w:color="auto"/>
              <w:right w:val="single" w:sz="8" w:space="0" w:color="auto"/>
            </w:tcBorders>
            <w:vAlign w:val="center"/>
          </w:tcPr>
          <w:p w14:paraId="71E97BB7" w14:textId="77777777" w:rsidR="0CFBF26B" w:rsidRDefault="00162F2E" w:rsidP="0CFBF26B">
            <w:pPr>
              <w:jc w:val="right"/>
            </w:pPr>
            <w:r w:rsidRPr="0CFBF26B">
              <w:rPr>
                <w:rFonts w:eastAsia="Arial" w:cs="Arial"/>
                <w:color w:val="000000" w:themeColor="text1"/>
                <w:sz w:val="20"/>
                <w:szCs w:val="20"/>
              </w:rPr>
              <w:t>15.087</w:t>
            </w:r>
          </w:p>
        </w:tc>
        <w:tc>
          <w:tcPr>
            <w:tcW w:w="1371" w:type="dxa"/>
            <w:tcBorders>
              <w:top w:val="single" w:sz="8" w:space="0" w:color="auto"/>
              <w:left w:val="single" w:sz="8" w:space="0" w:color="auto"/>
              <w:bottom w:val="single" w:sz="8" w:space="0" w:color="auto"/>
              <w:right w:val="single" w:sz="8" w:space="0" w:color="auto"/>
            </w:tcBorders>
            <w:vAlign w:val="center"/>
          </w:tcPr>
          <w:p w14:paraId="253C0FEC" w14:textId="77777777" w:rsidR="0CFBF26B" w:rsidRDefault="00162F2E" w:rsidP="0CFBF26B">
            <w:pPr>
              <w:jc w:val="right"/>
            </w:pPr>
            <w:r w:rsidRPr="0CFBF26B">
              <w:rPr>
                <w:rFonts w:eastAsia="Arial" w:cs="Arial"/>
                <w:color w:val="000000" w:themeColor="text1"/>
                <w:sz w:val="20"/>
                <w:szCs w:val="20"/>
              </w:rPr>
              <w:t>0.058</w:t>
            </w:r>
          </w:p>
        </w:tc>
        <w:tc>
          <w:tcPr>
            <w:tcW w:w="1371" w:type="dxa"/>
            <w:tcBorders>
              <w:top w:val="single" w:sz="8" w:space="0" w:color="auto"/>
              <w:left w:val="single" w:sz="8" w:space="0" w:color="auto"/>
              <w:bottom w:val="single" w:sz="8" w:space="0" w:color="auto"/>
              <w:right w:val="single" w:sz="8" w:space="0" w:color="auto"/>
            </w:tcBorders>
            <w:vAlign w:val="center"/>
          </w:tcPr>
          <w:p w14:paraId="0C3B8EB4" w14:textId="77777777" w:rsidR="0CFBF26B" w:rsidRDefault="00162F2E" w:rsidP="0CFBF26B">
            <w:pPr>
              <w:jc w:val="right"/>
            </w:pPr>
            <w:r w:rsidRPr="0CFBF26B">
              <w:rPr>
                <w:rFonts w:eastAsia="Arial" w:cs="Arial"/>
                <w:color w:val="000000" w:themeColor="text1"/>
                <w:sz w:val="20"/>
                <w:szCs w:val="20"/>
              </w:rPr>
              <w:t>2.168</w:t>
            </w:r>
          </w:p>
        </w:tc>
        <w:tc>
          <w:tcPr>
            <w:tcW w:w="1371" w:type="dxa"/>
            <w:tcBorders>
              <w:top w:val="single" w:sz="8" w:space="0" w:color="auto"/>
              <w:left w:val="single" w:sz="8" w:space="0" w:color="auto"/>
              <w:bottom w:val="single" w:sz="8" w:space="0" w:color="auto"/>
              <w:right w:val="single" w:sz="8" w:space="0" w:color="auto"/>
            </w:tcBorders>
            <w:vAlign w:val="center"/>
          </w:tcPr>
          <w:p w14:paraId="63DE4B2E" w14:textId="77777777" w:rsidR="0CFBF26B" w:rsidRDefault="00162F2E" w:rsidP="0CFBF26B">
            <w:pPr>
              <w:jc w:val="right"/>
            </w:pPr>
            <w:r w:rsidRPr="0CFBF26B">
              <w:rPr>
                <w:rFonts w:eastAsia="Arial" w:cs="Arial"/>
                <w:color w:val="000000" w:themeColor="text1"/>
                <w:sz w:val="20"/>
                <w:szCs w:val="20"/>
              </w:rPr>
              <w:t>17.313</w:t>
            </w:r>
          </w:p>
        </w:tc>
      </w:tr>
      <w:tr w:rsidR="006E5B54" w14:paraId="2A9A2615" w14:textId="77777777" w:rsidTr="0CFBF26B">
        <w:trPr>
          <w:trHeight w:val="285"/>
        </w:trPr>
        <w:tc>
          <w:tcPr>
            <w:tcW w:w="3007" w:type="dxa"/>
            <w:tcBorders>
              <w:top w:val="single" w:sz="8" w:space="0" w:color="auto"/>
              <w:left w:val="single" w:sz="8" w:space="0" w:color="auto"/>
              <w:bottom w:val="single" w:sz="8" w:space="0" w:color="auto"/>
              <w:right w:val="single" w:sz="8" w:space="0" w:color="auto"/>
            </w:tcBorders>
            <w:vAlign w:val="center"/>
          </w:tcPr>
          <w:p w14:paraId="60DEDD0A" w14:textId="77777777" w:rsidR="0CFBF26B" w:rsidRDefault="00162F2E" w:rsidP="0CFBF26B">
            <w:r w:rsidRPr="0CFBF26B">
              <w:rPr>
                <w:rFonts w:eastAsia="Arial" w:cs="Arial"/>
                <w:color w:val="000000" w:themeColor="text1"/>
                <w:sz w:val="20"/>
                <w:szCs w:val="20"/>
              </w:rPr>
              <w:t>Corporate - Property</w:t>
            </w:r>
          </w:p>
        </w:tc>
        <w:tc>
          <w:tcPr>
            <w:tcW w:w="1371" w:type="dxa"/>
            <w:tcBorders>
              <w:top w:val="single" w:sz="8" w:space="0" w:color="auto"/>
              <w:left w:val="single" w:sz="8" w:space="0" w:color="auto"/>
              <w:bottom w:val="single" w:sz="8" w:space="0" w:color="auto"/>
              <w:right w:val="single" w:sz="8" w:space="0" w:color="auto"/>
            </w:tcBorders>
            <w:vAlign w:val="center"/>
          </w:tcPr>
          <w:p w14:paraId="60D2C071" w14:textId="77777777" w:rsidR="0CFBF26B" w:rsidRDefault="00162F2E" w:rsidP="0CFBF26B">
            <w:pPr>
              <w:jc w:val="right"/>
            </w:pPr>
            <w:r w:rsidRPr="0CFBF26B">
              <w:rPr>
                <w:rFonts w:eastAsia="Arial" w:cs="Arial"/>
                <w:color w:val="000000" w:themeColor="text1"/>
                <w:sz w:val="20"/>
                <w:szCs w:val="20"/>
              </w:rPr>
              <w:t>14.698</w:t>
            </w:r>
          </w:p>
        </w:tc>
        <w:tc>
          <w:tcPr>
            <w:tcW w:w="1371" w:type="dxa"/>
            <w:tcBorders>
              <w:top w:val="single" w:sz="8" w:space="0" w:color="auto"/>
              <w:left w:val="single" w:sz="8" w:space="0" w:color="auto"/>
              <w:bottom w:val="single" w:sz="8" w:space="0" w:color="auto"/>
              <w:right w:val="single" w:sz="8" w:space="0" w:color="auto"/>
            </w:tcBorders>
            <w:vAlign w:val="center"/>
          </w:tcPr>
          <w:p w14:paraId="102D99E7" w14:textId="77777777" w:rsidR="0CFBF26B" w:rsidRDefault="00162F2E" w:rsidP="0CFBF26B">
            <w:pPr>
              <w:jc w:val="right"/>
            </w:pPr>
            <w:r w:rsidRPr="0CFBF26B">
              <w:rPr>
                <w:rFonts w:eastAsia="Arial" w:cs="Arial"/>
                <w:color w:val="000000" w:themeColor="text1"/>
                <w:sz w:val="20"/>
                <w:szCs w:val="20"/>
              </w:rPr>
              <w:t>3.360</w:t>
            </w:r>
          </w:p>
        </w:tc>
        <w:tc>
          <w:tcPr>
            <w:tcW w:w="1371" w:type="dxa"/>
            <w:tcBorders>
              <w:top w:val="single" w:sz="8" w:space="0" w:color="auto"/>
              <w:left w:val="single" w:sz="8" w:space="0" w:color="auto"/>
              <w:bottom w:val="single" w:sz="8" w:space="0" w:color="auto"/>
              <w:right w:val="single" w:sz="8" w:space="0" w:color="auto"/>
            </w:tcBorders>
            <w:vAlign w:val="center"/>
          </w:tcPr>
          <w:p w14:paraId="4075E725" w14:textId="77777777" w:rsidR="0CFBF26B" w:rsidRDefault="00162F2E" w:rsidP="0CFBF26B">
            <w:pPr>
              <w:jc w:val="right"/>
            </w:pPr>
            <w:r w:rsidRPr="0CFBF26B">
              <w:rPr>
                <w:rFonts w:eastAsia="Arial" w:cs="Arial"/>
                <w:color w:val="000000" w:themeColor="text1"/>
                <w:sz w:val="20"/>
                <w:szCs w:val="20"/>
              </w:rPr>
              <w:t>-6.619</w:t>
            </w:r>
          </w:p>
        </w:tc>
        <w:tc>
          <w:tcPr>
            <w:tcW w:w="1371" w:type="dxa"/>
            <w:tcBorders>
              <w:top w:val="single" w:sz="8" w:space="0" w:color="auto"/>
              <w:left w:val="single" w:sz="8" w:space="0" w:color="auto"/>
              <w:bottom w:val="single" w:sz="8" w:space="0" w:color="auto"/>
              <w:right w:val="single" w:sz="8" w:space="0" w:color="auto"/>
            </w:tcBorders>
            <w:vAlign w:val="center"/>
          </w:tcPr>
          <w:p w14:paraId="06314113" w14:textId="77777777" w:rsidR="0CFBF26B" w:rsidRDefault="00162F2E" w:rsidP="0CFBF26B">
            <w:pPr>
              <w:jc w:val="right"/>
            </w:pPr>
            <w:r w:rsidRPr="0CFBF26B">
              <w:rPr>
                <w:rFonts w:eastAsia="Arial" w:cs="Arial"/>
                <w:color w:val="000000" w:themeColor="text1"/>
                <w:sz w:val="20"/>
                <w:szCs w:val="20"/>
              </w:rPr>
              <w:t>11.439</w:t>
            </w:r>
          </w:p>
        </w:tc>
      </w:tr>
      <w:tr w:rsidR="006E5B54" w14:paraId="3DA02C20" w14:textId="77777777" w:rsidTr="0CFBF26B">
        <w:trPr>
          <w:trHeight w:val="285"/>
        </w:trPr>
        <w:tc>
          <w:tcPr>
            <w:tcW w:w="3007" w:type="dxa"/>
            <w:tcBorders>
              <w:top w:val="single" w:sz="8" w:space="0" w:color="auto"/>
              <w:left w:val="single" w:sz="8" w:space="0" w:color="auto"/>
              <w:bottom w:val="single" w:sz="8" w:space="0" w:color="auto"/>
              <w:right w:val="single" w:sz="8" w:space="0" w:color="auto"/>
            </w:tcBorders>
            <w:vAlign w:val="center"/>
          </w:tcPr>
          <w:p w14:paraId="76B3C599" w14:textId="77777777" w:rsidR="0CFBF26B" w:rsidRDefault="00162F2E" w:rsidP="0CFBF26B">
            <w:r w:rsidRPr="0CFBF26B">
              <w:rPr>
                <w:rFonts w:eastAsia="Arial" w:cs="Arial"/>
                <w:color w:val="000000" w:themeColor="text1"/>
                <w:sz w:val="20"/>
                <w:szCs w:val="20"/>
              </w:rPr>
              <w:t>Economic Development</w:t>
            </w:r>
          </w:p>
        </w:tc>
        <w:tc>
          <w:tcPr>
            <w:tcW w:w="1371" w:type="dxa"/>
            <w:tcBorders>
              <w:top w:val="single" w:sz="8" w:space="0" w:color="auto"/>
              <w:left w:val="single" w:sz="8" w:space="0" w:color="auto"/>
              <w:bottom w:val="single" w:sz="8" w:space="0" w:color="auto"/>
              <w:right w:val="single" w:sz="8" w:space="0" w:color="auto"/>
            </w:tcBorders>
            <w:vAlign w:val="center"/>
          </w:tcPr>
          <w:p w14:paraId="69B073D8" w14:textId="77777777" w:rsidR="0CFBF26B" w:rsidRDefault="00162F2E" w:rsidP="0CFBF26B">
            <w:pPr>
              <w:jc w:val="right"/>
            </w:pPr>
            <w:r w:rsidRPr="0CFBF26B">
              <w:rPr>
                <w:rFonts w:eastAsia="Arial" w:cs="Arial"/>
                <w:color w:val="000000" w:themeColor="text1"/>
                <w:sz w:val="20"/>
                <w:szCs w:val="20"/>
              </w:rPr>
              <w:t>16.160</w:t>
            </w:r>
          </w:p>
        </w:tc>
        <w:tc>
          <w:tcPr>
            <w:tcW w:w="1371" w:type="dxa"/>
            <w:tcBorders>
              <w:top w:val="single" w:sz="8" w:space="0" w:color="auto"/>
              <w:left w:val="single" w:sz="8" w:space="0" w:color="auto"/>
              <w:bottom w:val="single" w:sz="8" w:space="0" w:color="auto"/>
              <w:right w:val="single" w:sz="8" w:space="0" w:color="auto"/>
            </w:tcBorders>
            <w:vAlign w:val="center"/>
          </w:tcPr>
          <w:p w14:paraId="315909A6" w14:textId="77777777" w:rsidR="0CFBF26B" w:rsidRDefault="00162F2E" w:rsidP="0CFBF26B">
            <w:pPr>
              <w:jc w:val="right"/>
            </w:pPr>
            <w:r w:rsidRPr="0CFBF26B">
              <w:rPr>
                <w:rFonts w:eastAsia="Arial" w:cs="Arial"/>
                <w:color w:val="000000" w:themeColor="text1"/>
                <w:sz w:val="20"/>
                <w:szCs w:val="20"/>
              </w:rPr>
              <w:t>0.250</w:t>
            </w:r>
          </w:p>
        </w:tc>
        <w:tc>
          <w:tcPr>
            <w:tcW w:w="1371" w:type="dxa"/>
            <w:tcBorders>
              <w:top w:val="single" w:sz="8" w:space="0" w:color="auto"/>
              <w:left w:val="single" w:sz="8" w:space="0" w:color="auto"/>
              <w:bottom w:val="single" w:sz="8" w:space="0" w:color="auto"/>
              <w:right w:val="single" w:sz="8" w:space="0" w:color="auto"/>
            </w:tcBorders>
            <w:vAlign w:val="center"/>
          </w:tcPr>
          <w:p w14:paraId="3FD3F986" w14:textId="77777777" w:rsidR="0CFBF26B" w:rsidRDefault="00162F2E" w:rsidP="0CFBF26B">
            <w:pPr>
              <w:jc w:val="right"/>
            </w:pPr>
            <w:r w:rsidRPr="0CFBF26B">
              <w:rPr>
                <w:rFonts w:eastAsia="Arial" w:cs="Arial"/>
                <w:color w:val="000000" w:themeColor="text1"/>
                <w:sz w:val="20"/>
                <w:szCs w:val="20"/>
              </w:rPr>
              <w:t>-4.421</w:t>
            </w:r>
          </w:p>
        </w:tc>
        <w:tc>
          <w:tcPr>
            <w:tcW w:w="1371" w:type="dxa"/>
            <w:tcBorders>
              <w:top w:val="single" w:sz="8" w:space="0" w:color="auto"/>
              <w:left w:val="single" w:sz="8" w:space="0" w:color="auto"/>
              <w:bottom w:val="single" w:sz="8" w:space="0" w:color="auto"/>
              <w:right w:val="single" w:sz="8" w:space="0" w:color="auto"/>
            </w:tcBorders>
            <w:vAlign w:val="center"/>
          </w:tcPr>
          <w:p w14:paraId="421869D0" w14:textId="77777777" w:rsidR="0CFBF26B" w:rsidRDefault="00162F2E" w:rsidP="0CFBF26B">
            <w:pPr>
              <w:jc w:val="right"/>
            </w:pPr>
            <w:r w:rsidRPr="0CFBF26B">
              <w:rPr>
                <w:rFonts w:eastAsia="Arial" w:cs="Arial"/>
                <w:color w:val="000000" w:themeColor="text1"/>
                <w:sz w:val="20"/>
                <w:szCs w:val="20"/>
              </w:rPr>
              <w:t>11.989</w:t>
            </w:r>
          </w:p>
        </w:tc>
      </w:tr>
      <w:tr w:rsidR="006E5B54" w14:paraId="7D4B1FDA" w14:textId="77777777" w:rsidTr="0CFBF26B">
        <w:trPr>
          <w:trHeight w:val="285"/>
        </w:trPr>
        <w:tc>
          <w:tcPr>
            <w:tcW w:w="3007" w:type="dxa"/>
            <w:tcBorders>
              <w:top w:val="single" w:sz="8" w:space="0" w:color="auto"/>
              <w:left w:val="single" w:sz="8" w:space="0" w:color="auto"/>
              <w:bottom w:val="single" w:sz="8" w:space="0" w:color="auto"/>
              <w:right w:val="single" w:sz="8" w:space="0" w:color="auto"/>
            </w:tcBorders>
            <w:vAlign w:val="center"/>
          </w:tcPr>
          <w:p w14:paraId="44C9A01E" w14:textId="77777777" w:rsidR="0CFBF26B" w:rsidRDefault="00162F2E" w:rsidP="0CFBF26B">
            <w:r w:rsidRPr="0CFBF26B">
              <w:rPr>
                <w:rFonts w:eastAsia="Arial" w:cs="Arial"/>
                <w:color w:val="000000" w:themeColor="text1"/>
                <w:sz w:val="20"/>
                <w:szCs w:val="20"/>
              </w:rPr>
              <w:t>South Lancaster Growth Catalyst</w:t>
            </w:r>
          </w:p>
        </w:tc>
        <w:tc>
          <w:tcPr>
            <w:tcW w:w="1371" w:type="dxa"/>
            <w:tcBorders>
              <w:top w:val="single" w:sz="8" w:space="0" w:color="auto"/>
              <w:left w:val="single" w:sz="8" w:space="0" w:color="auto"/>
              <w:bottom w:val="single" w:sz="8" w:space="0" w:color="auto"/>
              <w:right w:val="single" w:sz="8" w:space="0" w:color="auto"/>
            </w:tcBorders>
            <w:vAlign w:val="center"/>
          </w:tcPr>
          <w:p w14:paraId="0610663C" w14:textId="77777777" w:rsidR="0CFBF26B" w:rsidRDefault="00162F2E" w:rsidP="0CFBF26B">
            <w:pPr>
              <w:jc w:val="right"/>
            </w:pPr>
            <w:r w:rsidRPr="0CFBF26B">
              <w:rPr>
                <w:rFonts w:eastAsia="Arial" w:cs="Arial"/>
                <w:color w:val="000000" w:themeColor="text1"/>
                <w:sz w:val="20"/>
                <w:szCs w:val="20"/>
              </w:rPr>
              <w:t>0.000</w:t>
            </w:r>
          </w:p>
        </w:tc>
        <w:tc>
          <w:tcPr>
            <w:tcW w:w="1371" w:type="dxa"/>
            <w:tcBorders>
              <w:top w:val="single" w:sz="8" w:space="0" w:color="auto"/>
              <w:left w:val="single" w:sz="8" w:space="0" w:color="auto"/>
              <w:bottom w:val="single" w:sz="8" w:space="0" w:color="auto"/>
              <w:right w:val="single" w:sz="8" w:space="0" w:color="auto"/>
            </w:tcBorders>
            <w:vAlign w:val="center"/>
          </w:tcPr>
          <w:p w14:paraId="3E2EBC47" w14:textId="77777777" w:rsidR="0CFBF26B" w:rsidRDefault="00162F2E" w:rsidP="0CFBF26B">
            <w:pPr>
              <w:jc w:val="right"/>
            </w:pPr>
            <w:r w:rsidRPr="0CFBF26B">
              <w:rPr>
                <w:rFonts w:eastAsia="Arial" w:cs="Arial"/>
                <w:color w:val="000000" w:themeColor="text1"/>
                <w:sz w:val="20"/>
                <w:szCs w:val="20"/>
              </w:rPr>
              <w:t>4.100</w:t>
            </w:r>
          </w:p>
        </w:tc>
        <w:tc>
          <w:tcPr>
            <w:tcW w:w="1371" w:type="dxa"/>
            <w:tcBorders>
              <w:top w:val="single" w:sz="8" w:space="0" w:color="auto"/>
              <w:left w:val="single" w:sz="8" w:space="0" w:color="auto"/>
              <w:bottom w:val="single" w:sz="8" w:space="0" w:color="auto"/>
              <w:right w:val="single" w:sz="8" w:space="0" w:color="auto"/>
            </w:tcBorders>
            <w:vAlign w:val="center"/>
          </w:tcPr>
          <w:p w14:paraId="21F9B747" w14:textId="77777777" w:rsidR="0CFBF26B" w:rsidRDefault="00162F2E" w:rsidP="0CFBF26B">
            <w:pPr>
              <w:jc w:val="right"/>
            </w:pPr>
            <w:r w:rsidRPr="0CFBF26B">
              <w:rPr>
                <w:rFonts w:eastAsia="Arial" w:cs="Arial"/>
                <w:color w:val="000000" w:themeColor="text1"/>
                <w:sz w:val="20"/>
                <w:szCs w:val="20"/>
              </w:rPr>
              <w:t>0.000</w:t>
            </w:r>
          </w:p>
        </w:tc>
        <w:tc>
          <w:tcPr>
            <w:tcW w:w="1371" w:type="dxa"/>
            <w:tcBorders>
              <w:top w:val="single" w:sz="8" w:space="0" w:color="auto"/>
              <w:left w:val="single" w:sz="8" w:space="0" w:color="auto"/>
              <w:bottom w:val="single" w:sz="8" w:space="0" w:color="auto"/>
              <w:right w:val="single" w:sz="8" w:space="0" w:color="auto"/>
            </w:tcBorders>
            <w:vAlign w:val="center"/>
          </w:tcPr>
          <w:p w14:paraId="03F8DD36" w14:textId="77777777" w:rsidR="0CFBF26B" w:rsidRDefault="00162F2E" w:rsidP="0CFBF26B">
            <w:pPr>
              <w:jc w:val="right"/>
            </w:pPr>
            <w:r w:rsidRPr="0CFBF26B">
              <w:rPr>
                <w:rFonts w:eastAsia="Arial" w:cs="Arial"/>
                <w:color w:val="000000" w:themeColor="text1"/>
                <w:sz w:val="20"/>
                <w:szCs w:val="20"/>
              </w:rPr>
              <w:t>4.100</w:t>
            </w:r>
          </w:p>
        </w:tc>
      </w:tr>
      <w:tr w:rsidR="006E5B54" w14:paraId="7B4E2E34" w14:textId="77777777" w:rsidTr="0CFBF26B">
        <w:trPr>
          <w:trHeight w:val="285"/>
        </w:trPr>
        <w:tc>
          <w:tcPr>
            <w:tcW w:w="3007" w:type="dxa"/>
            <w:tcBorders>
              <w:top w:val="single" w:sz="8" w:space="0" w:color="auto"/>
              <w:left w:val="single" w:sz="8" w:space="0" w:color="auto"/>
              <w:bottom w:val="single" w:sz="8" w:space="0" w:color="auto"/>
              <w:right w:val="single" w:sz="8" w:space="0" w:color="auto"/>
            </w:tcBorders>
            <w:vAlign w:val="center"/>
          </w:tcPr>
          <w:p w14:paraId="4611FA16" w14:textId="77777777" w:rsidR="0CFBF26B" w:rsidRDefault="00162F2E" w:rsidP="0CFBF26B">
            <w:r w:rsidRPr="0CFBF26B">
              <w:rPr>
                <w:rFonts w:eastAsia="Arial" w:cs="Arial"/>
                <w:color w:val="000000" w:themeColor="text1"/>
                <w:sz w:val="20"/>
                <w:szCs w:val="20"/>
              </w:rPr>
              <w:t>Vehicles</w:t>
            </w:r>
          </w:p>
        </w:tc>
        <w:tc>
          <w:tcPr>
            <w:tcW w:w="1371" w:type="dxa"/>
            <w:tcBorders>
              <w:top w:val="single" w:sz="8" w:space="0" w:color="auto"/>
              <w:left w:val="single" w:sz="8" w:space="0" w:color="auto"/>
              <w:bottom w:val="single" w:sz="8" w:space="0" w:color="auto"/>
              <w:right w:val="single" w:sz="8" w:space="0" w:color="auto"/>
            </w:tcBorders>
            <w:vAlign w:val="center"/>
          </w:tcPr>
          <w:p w14:paraId="3AB3FCA1" w14:textId="77777777" w:rsidR="0CFBF26B" w:rsidRDefault="00162F2E" w:rsidP="0CFBF26B">
            <w:pPr>
              <w:jc w:val="right"/>
            </w:pPr>
            <w:r w:rsidRPr="0CFBF26B">
              <w:rPr>
                <w:rFonts w:eastAsia="Arial" w:cs="Arial"/>
                <w:color w:val="000000" w:themeColor="text1"/>
                <w:sz w:val="20"/>
                <w:szCs w:val="20"/>
              </w:rPr>
              <w:t>4.924</w:t>
            </w:r>
          </w:p>
        </w:tc>
        <w:tc>
          <w:tcPr>
            <w:tcW w:w="1371" w:type="dxa"/>
            <w:tcBorders>
              <w:top w:val="single" w:sz="8" w:space="0" w:color="auto"/>
              <w:left w:val="single" w:sz="8" w:space="0" w:color="auto"/>
              <w:bottom w:val="single" w:sz="8" w:space="0" w:color="auto"/>
              <w:right w:val="single" w:sz="8" w:space="0" w:color="auto"/>
            </w:tcBorders>
            <w:vAlign w:val="center"/>
          </w:tcPr>
          <w:p w14:paraId="25EF6FC7" w14:textId="77777777" w:rsidR="0CFBF26B" w:rsidRDefault="00162F2E" w:rsidP="0CFBF26B">
            <w:pPr>
              <w:jc w:val="right"/>
            </w:pPr>
            <w:r w:rsidRPr="0CFBF26B">
              <w:rPr>
                <w:rFonts w:eastAsia="Arial" w:cs="Arial"/>
                <w:color w:val="000000" w:themeColor="text1"/>
                <w:sz w:val="20"/>
                <w:szCs w:val="20"/>
              </w:rPr>
              <w:t>0.000</w:t>
            </w:r>
          </w:p>
        </w:tc>
        <w:tc>
          <w:tcPr>
            <w:tcW w:w="1371" w:type="dxa"/>
            <w:tcBorders>
              <w:top w:val="single" w:sz="8" w:space="0" w:color="auto"/>
              <w:left w:val="single" w:sz="8" w:space="0" w:color="auto"/>
              <w:bottom w:val="single" w:sz="8" w:space="0" w:color="auto"/>
              <w:right w:val="single" w:sz="8" w:space="0" w:color="auto"/>
            </w:tcBorders>
            <w:vAlign w:val="center"/>
          </w:tcPr>
          <w:p w14:paraId="6D9FDD1D" w14:textId="77777777" w:rsidR="0CFBF26B" w:rsidRDefault="00162F2E" w:rsidP="0CFBF26B">
            <w:pPr>
              <w:jc w:val="right"/>
            </w:pPr>
            <w:r w:rsidRPr="0CFBF26B">
              <w:rPr>
                <w:rFonts w:eastAsia="Arial" w:cs="Arial"/>
                <w:color w:val="000000" w:themeColor="text1"/>
                <w:sz w:val="20"/>
                <w:szCs w:val="20"/>
              </w:rPr>
              <w:t>-0.925</w:t>
            </w:r>
          </w:p>
        </w:tc>
        <w:tc>
          <w:tcPr>
            <w:tcW w:w="1371" w:type="dxa"/>
            <w:tcBorders>
              <w:top w:val="single" w:sz="8" w:space="0" w:color="auto"/>
              <w:left w:val="single" w:sz="8" w:space="0" w:color="auto"/>
              <w:bottom w:val="single" w:sz="8" w:space="0" w:color="auto"/>
              <w:right w:val="single" w:sz="8" w:space="0" w:color="auto"/>
            </w:tcBorders>
            <w:vAlign w:val="center"/>
          </w:tcPr>
          <w:p w14:paraId="28F287BD" w14:textId="77777777" w:rsidR="0CFBF26B" w:rsidRDefault="00162F2E" w:rsidP="0CFBF26B">
            <w:pPr>
              <w:jc w:val="right"/>
            </w:pPr>
            <w:r w:rsidRPr="0CFBF26B">
              <w:rPr>
                <w:rFonts w:eastAsia="Arial" w:cs="Arial"/>
                <w:color w:val="000000" w:themeColor="text1"/>
                <w:sz w:val="20"/>
                <w:szCs w:val="20"/>
              </w:rPr>
              <w:t>3.999</w:t>
            </w:r>
          </w:p>
        </w:tc>
      </w:tr>
      <w:tr w:rsidR="006E5B54" w14:paraId="705E1857" w14:textId="77777777" w:rsidTr="0CFBF26B">
        <w:trPr>
          <w:trHeight w:val="285"/>
        </w:trPr>
        <w:tc>
          <w:tcPr>
            <w:tcW w:w="3007" w:type="dxa"/>
            <w:tcBorders>
              <w:top w:val="single" w:sz="8" w:space="0" w:color="auto"/>
              <w:left w:val="single" w:sz="8" w:space="0" w:color="auto"/>
              <w:bottom w:val="single" w:sz="8" w:space="0" w:color="auto"/>
              <w:right w:val="single" w:sz="8" w:space="0" w:color="auto"/>
            </w:tcBorders>
            <w:vAlign w:val="center"/>
          </w:tcPr>
          <w:p w14:paraId="014F8B36" w14:textId="77777777" w:rsidR="0CFBF26B" w:rsidRDefault="00162F2E" w:rsidP="0CFBF26B">
            <w:r w:rsidRPr="0CFBF26B">
              <w:rPr>
                <w:rFonts w:eastAsia="Arial" w:cs="Arial"/>
                <w:color w:val="000000" w:themeColor="text1"/>
                <w:sz w:val="20"/>
                <w:szCs w:val="20"/>
              </w:rPr>
              <w:lastRenderedPageBreak/>
              <w:t>Transforming Cities Fund</w:t>
            </w:r>
          </w:p>
        </w:tc>
        <w:tc>
          <w:tcPr>
            <w:tcW w:w="1371" w:type="dxa"/>
            <w:tcBorders>
              <w:top w:val="single" w:sz="8" w:space="0" w:color="auto"/>
              <w:left w:val="single" w:sz="8" w:space="0" w:color="auto"/>
              <w:bottom w:val="single" w:sz="8" w:space="0" w:color="auto"/>
              <w:right w:val="single" w:sz="8" w:space="0" w:color="auto"/>
            </w:tcBorders>
            <w:vAlign w:val="center"/>
          </w:tcPr>
          <w:p w14:paraId="639C5614" w14:textId="77777777" w:rsidR="0CFBF26B" w:rsidRDefault="00162F2E" w:rsidP="0CFBF26B">
            <w:pPr>
              <w:jc w:val="right"/>
            </w:pPr>
            <w:r w:rsidRPr="0CFBF26B">
              <w:rPr>
                <w:rFonts w:eastAsia="Arial" w:cs="Arial"/>
                <w:color w:val="000000" w:themeColor="text1"/>
                <w:sz w:val="20"/>
                <w:szCs w:val="20"/>
              </w:rPr>
              <w:t>14.348</w:t>
            </w:r>
          </w:p>
        </w:tc>
        <w:tc>
          <w:tcPr>
            <w:tcW w:w="1371" w:type="dxa"/>
            <w:tcBorders>
              <w:top w:val="single" w:sz="8" w:space="0" w:color="auto"/>
              <w:left w:val="single" w:sz="8" w:space="0" w:color="auto"/>
              <w:bottom w:val="single" w:sz="8" w:space="0" w:color="auto"/>
              <w:right w:val="single" w:sz="8" w:space="0" w:color="auto"/>
            </w:tcBorders>
            <w:vAlign w:val="center"/>
          </w:tcPr>
          <w:p w14:paraId="7F9F37B2" w14:textId="77777777" w:rsidR="0CFBF26B" w:rsidRDefault="00162F2E" w:rsidP="0CFBF26B">
            <w:pPr>
              <w:jc w:val="right"/>
            </w:pPr>
            <w:r w:rsidRPr="0CFBF26B">
              <w:rPr>
                <w:rFonts w:eastAsia="Arial" w:cs="Arial"/>
                <w:color w:val="000000" w:themeColor="text1"/>
                <w:sz w:val="20"/>
                <w:szCs w:val="20"/>
              </w:rPr>
              <w:t>0.000</w:t>
            </w:r>
          </w:p>
        </w:tc>
        <w:tc>
          <w:tcPr>
            <w:tcW w:w="1371" w:type="dxa"/>
            <w:tcBorders>
              <w:top w:val="single" w:sz="8" w:space="0" w:color="auto"/>
              <w:left w:val="single" w:sz="8" w:space="0" w:color="auto"/>
              <w:bottom w:val="single" w:sz="8" w:space="0" w:color="auto"/>
              <w:right w:val="single" w:sz="8" w:space="0" w:color="auto"/>
            </w:tcBorders>
            <w:vAlign w:val="center"/>
          </w:tcPr>
          <w:p w14:paraId="1A28ABB1" w14:textId="77777777" w:rsidR="0CFBF26B" w:rsidRDefault="00162F2E" w:rsidP="0CFBF26B">
            <w:pPr>
              <w:jc w:val="right"/>
            </w:pPr>
            <w:r w:rsidRPr="0CFBF26B">
              <w:rPr>
                <w:rFonts w:eastAsia="Arial" w:cs="Arial"/>
                <w:color w:val="000000" w:themeColor="text1"/>
                <w:sz w:val="20"/>
                <w:szCs w:val="20"/>
              </w:rPr>
              <w:t>-8.560</w:t>
            </w:r>
          </w:p>
        </w:tc>
        <w:tc>
          <w:tcPr>
            <w:tcW w:w="1371" w:type="dxa"/>
            <w:tcBorders>
              <w:top w:val="single" w:sz="8" w:space="0" w:color="auto"/>
              <w:left w:val="single" w:sz="8" w:space="0" w:color="auto"/>
              <w:bottom w:val="single" w:sz="8" w:space="0" w:color="auto"/>
              <w:right w:val="single" w:sz="8" w:space="0" w:color="auto"/>
            </w:tcBorders>
            <w:vAlign w:val="center"/>
          </w:tcPr>
          <w:p w14:paraId="254F5AE0" w14:textId="77777777" w:rsidR="0CFBF26B" w:rsidRDefault="00162F2E" w:rsidP="0CFBF26B">
            <w:pPr>
              <w:jc w:val="right"/>
            </w:pPr>
            <w:r w:rsidRPr="0CFBF26B">
              <w:rPr>
                <w:rFonts w:eastAsia="Arial" w:cs="Arial"/>
                <w:color w:val="000000" w:themeColor="text1"/>
                <w:sz w:val="20"/>
                <w:szCs w:val="20"/>
              </w:rPr>
              <w:t>5.788</w:t>
            </w:r>
          </w:p>
        </w:tc>
      </w:tr>
      <w:tr w:rsidR="006E5B54" w14:paraId="64AF9FF2" w14:textId="77777777" w:rsidTr="0CFBF26B">
        <w:trPr>
          <w:trHeight w:val="285"/>
        </w:trPr>
        <w:tc>
          <w:tcPr>
            <w:tcW w:w="3007" w:type="dxa"/>
            <w:tcBorders>
              <w:top w:val="single" w:sz="8" w:space="0" w:color="auto"/>
              <w:left w:val="single" w:sz="8" w:space="0" w:color="auto"/>
              <w:bottom w:val="single" w:sz="8" w:space="0" w:color="auto"/>
              <w:right w:val="single" w:sz="8" w:space="0" w:color="auto"/>
            </w:tcBorders>
            <w:vAlign w:val="center"/>
          </w:tcPr>
          <w:p w14:paraId="64D8C10E" w14:textId="77777777" w:rsidR="0CFBF26B" w:rsidRDefault="00162F2E" w:rsidP="0CFBF26B">
            <w:r w:rsidRPr="0CFBF26B">
              <w:rPr>
                <w:rFonts w:eastAsia="Arial" w:cs="Arial"/>
                <w:b/>
                <w:bCs/>
                <w:color w:val="000000" w:themeColor="text1"/>
                <w:sz w:val="20"/>
                <w:szCs w:val="20"/>
              </w:rPr>
              <w:t>Grand Total</w:t>
            </w:r>
          </w:p>
        </w:tc>
        <w:tc>
          <w:tcPr>
            <w:tcW w:w="1371" w:type="dxa"/>
            <w:tcBorders>
              <w:top w:val="single" w:sz="8" w:space="0" w:color="auto"/>
              <w:left w:val="single" w:sz="8" w:space="0" w:color="auto"/>
              <w:bottom w:val="single" w:sz="8" w:space="0" w:color="auto"/>
              <w:right w:val="single" w:sz="8" w:space="0" w:color="auto"/>
            </w:tcBorders>
            <w:vAlign w:val="center"/>
          </w:tcPr>
          <w:p w14:paraId="6A73353D" w14:textId="77777777" w:rsidR="0CFBF26B" w:rsidRDefault="00162F2E" w:rsidP="0CFBF26B">
            <w:pPr>
              <w:jc w:val="right"/>
            </w:pPr>
            <w:r w:rsidRPr="0CFBF26B">
              <w:rPr>
                <w:rFonts w:eastAsia="Arial" w:cs="Arial"/>
                <w:b/>
                <w:bCs/>
                <w:color w:val="000000" w:themeColor="text1"/>
                <w:sz w:val="20"/>
                <w:szCs w:val="20"/>
              </w:rPr>
              <w:t>152.439</w:t>
            </w:r>
          </w:p>
        </w:tc>
        <w:tc>
          <w:tcPr>
            <w:tcW w:w="1371" w:type="dxa"/>
            <w:tcBorders>
              <w:top w:val="single" w:sz="8" w:space="0" w:color="auto"/>
              <w:left w:val="single" w:sz="8" w:space="0" w:color="auto"/>
              <w:bottom w:val="single" w:sz="8" w:space="0" w:color="auto"/>
              <w:right w:val="single" w:sz="8" w:space="0" w:color="auto"/>
            </w:tcBorders>
            <w:vAlign w:val="center"/>
          </w:tcPr>
          <w:p w14:paraId="60CE485D" w14:textId="77777777" w:rsidR="0CFBF26B" w:rsidRDefault="00162F2E" w:rsidP="0CFBF26B">
            <w:pPr>
              <w:jc w:val="right"/>
            </w:pPr>
            <w:r w:rsidRPr="0CFBF26B">
              <w:rPr>
                <w:rFonts w:eastAsia="Arial" w:cs="Arial"/>
                <w:b/>
                <w:bCs/>
                <w:color w:val="000000" w:themeColor="text1"/>
                <w:sz w:val="20"/>
                <w:szCs w:val="20"/>
              </w:rPr>
              <w:t>104.454</w:t>
            </w:r>
          </w:p>
        </w:tc>
        <w:tc>
          <w:tcPr>
            <w:tcW w:w="1371" w:type="dxa"/>
            <w:tcBorders>
              <w:top w:val="single" w:sz="8" w:space="0" w:color="auto"/>
              <w:left w:val="single" w:sz="8" w:space="0" w:color="auto"/>
              <w:bottom w:val="single" w:sz="8" w:space="0" w:color="auto"/>
              <w:right w:val="single" w:sz="8" w:space="0" w:color="auto"/>
            </w:tcBorders>
            <w:vAlign w:val="center"/>
          </w:tcPr>
          <w:p w14:paraId="64BB0481" w14:textId="77777777" w:rsidR="0CFBF26B" w:rsidRDefault="00162F2E" w:rsidP="0CFBF26B">
            <w:pPr>
              <w:jc w:val="right"/>
            </w:pPr>
            <w:r w:rsidRPr="0CFBF26B">
              <w:rPr>
                <w:rFonts w:eastAsia="Arial" w:cs="Arial"/>
                <w:b/>
                <w:bCs/>
                <w:color w:val="000000" w:themeColor="text1"/>
                <w:sz w:val="20"/>
                <w:szCs w:val="20"/>
              </w:rPr>
              <w:t>-86.330</w:t>
            </w:r>
          </w:p>
        </w:tc>
        <w:tc>
          <w:tcPr>
            <w:tcW w:w="1371" w:type="dxa"/>
            <w:tcBorders>
              <w:top w:val="single" w:sz="8" w:space="0" w:color="auto"/>
              <w:left w:val="single" w:sz="8" w:space="0" w:color="auto"/>
              <w:bottom w:val="single" w:sz="8" w:space="0" w:color="auto"/>
              <w:right w:val="single" w:sz="8" w:space="0" w:color="auto"/>
            </w:tcBorders>
            <w:vAlign w:val="center"/>
          </w:tcPr>
          <w:p w14:paraId="75A8B834" w14:textId="77777777" w:rsidR="0CFBF26B" w:rsidRDefault="00162F2E" w:rsidP="0CFBF26B">
            <w:pPr>
              <w:jc w:val="right"/>
            </w:pPr>
            <w:r w:rsidRPr="0CFBF26B">
              <w:rPr>
                <w:rFonts w:eastAsia="Arial" w:cs="Arial"/>
                <w:b/>
                <w:bCs/>
                <w:color w:val="000000" w:themeColor="text1"/>
                <w:sz w:val="20"/>
                <w:szCs w:val="20"/>
              </w:rPr>
              <w:t>170.563</w:t>
            </w:r>
          </w:p>
        </w:tc>
      </w:tr>
    </w:tbl>
    <w:p w14:paraId="4097E6E6" w14:textId="77777777" w:rsidR="00D10794" w:rsidRPr="00812801" w:rsidRDefault="00162F2E" w:rsidP="0CFBF26B">
      <w:pPr>
        <w:autoSpaceDE/>
        <w:autoSpaceDN/>
        <w:adjustRightInd/>
        <w:spacing w:after="0"/>
      </w:pPr>
      <w:r w:rsidRPr="0CFBF26B">
        <w:rPr>
          <w:rFonts w:eastAsia="Arial" w:cs="Arial"/>
          <w:color w:val="000000" w:themeColor="text1"/>
        </w:rPr>
        <w:t xml:space="preserve"> </w:t>
      </w:r>
    </w:p>
    <w:p w14:paraId="1E81D32F" w14:textId="77777777" w:rsidR="00D10794" w:rsidRPr="0069446A" w:rsidRDefault="00162F2E" w:rsidP="0069446A">
      <w:pPr>
        <w:pStyle w:val="ListParagraph"/>
        <w:numPr>
          <w:ilvl w:val="0"/>
          <w:numId w:val="30"/>
        </w:numPr>
        <w:autoSpaceDE/>
        <w:autoSpaceDN/>
        <w:adjustRightInd/>
        <w:spacing w:after="0"/>
        <w:jc w:val="left"/>
        <w:rPr>
          <w:rFonts w:eastAsia="Arial" w:cs="Arial"/>
          <w:b/>
          <w:color w:val="000000" w:themeColor="text1"/>
        </w:rPr>
      </w:pPr>
      <w:r w:rsidRPr="0069446A">
        <w:rPr>
          <w:rFonts w:eastAsia="Arial" w:cs="Arial"/>
          <w:b/>
          <w:color w:val="000000" w:themeColor="text1"/>
        </w:rPr>
        <w:t>Variance Analysis</w:t>
      </w:r>
    </w:p>
    <w:p w14:paraId="758F6C71" w14:textId="77777777" w:rsidR="007B386D" w:rsidRPr="0069446A" w:rsidRDefault="007B386D" w:rsidP="0069446A">
      <w:pPr>
        <w:autoSpaceDE/>
        <w:autoSpaceDN/>
        <w:adjustRightInd/>
        <w:spacing w:after="0"/>
        <w:jc w:val="left"/>
        <w:rPr>
          <w:rFonts w:eastAsia="Arial" w:cs="Arial"/>
          <w:b/>
          <w:color w:val="000000" w:themeColor="text1"/>
        </w:rPr>
      </w:pPr>
    </w:p>
    <w:p w14:paraId="1A401800" w14:textId="77777777" w:rsidR="00D10794" w:rsidRDefault="00162F2E" w:rsidP="0CFBF26B">
      <w:pPr>
        <w:autoSpaceDE/>
        <w:autoSpaceDN/>
        <w:adjustRightInd/>
        <w:spacing w:after="0"/>
        <w:rPr>
          <w:rFonts w:eastAsia="Arial" w:cs="Arial"/>
          <w:color w:val="000000" w:themeColor="text1"/>
        </w:rPr>
      </w:pPr>
      <w:r w:rsidRPr="0CFBF26B">
        <w:rPr>
          <w:rFonts w:eastAsia="Arial" w:cs="Arial"/>
          <w:color w:val="000000" w:themeColor="text1"/>
        </w:rPr>
        <w:t>The reported outturn variance for the financial year 2021/22 is -£6.439m. A breakdown of the variance to block level is shown in table 2 below.</w:t>
      </w:r>
    </w:p>
    <w:p w14:paraId="27E56FAC" w14:textId="77777777" w:rsidR="00D257BA" w:rsidRPr="00812801" w:rsidRDefault="00D257BA" w:rsidP="0CFBF26B">
      <w:pPr>
        <w:autoSpaceDE/>
        <w:autoSpaceDN/>
        <w:adjustRightInd/>
        <w:spacing w:after="0"/>
      </w:pPr>
    </w:p>
    <w:p w14:paraId="27F9F1C0" w14:textId="77777777" w:rsidR="00D10794" w:rsidRDefault="00162F2E" w:rsidP="0CFBF26B">
      <w:pPr>
        <w:autoSpaceDE/>
        <w:autoSpaceDN/>
        <w:adjustRightInd/>
        <w:spacing w:after="0"/>
        <w:rPr>
          <w:rFonts w:eastAsia="Arial" w:cs="Arial"/>
          <w:b/>
          <w:color w:val="000000" w:themeColor="text1"/>
        </w:rPr>
      </w:pPr>
      <w:r w:rsidRPr="0CFBF26B">
        <w:rPr>
          <w:rFonts w:eastAsia="Arial" w:cs="Arial"/>
          <w:b/>
          <w:color w:val="000000" w:themeColor="text1"/>
        </w:rPr>
        <w:t xml:space="preserve">Table 2 – Summary Capital Delivery programme outturn position </w:t>
      </w:r>
      <w:r w:rsidR="004F05D5" w:rsidRPr="0CFBF26B">
        <w:rPr>
          <w:rFonts w:eastAsia="Arial" w:cs="Arial"/>
          <w:b/>
          <w:color w:val="000000" w:themeColor="text1"/>
        </w:rPr>
        <w:t>2021/22</w:t>
      </w:r>
    </w:p>
    <w:tbl>
      <w:tblPr>
        <w:tblW w:w="9611" w:type="dxa"/>
        <w:tblLook w:val="04A0" w:firstRow="1" w:lastRow="0" w:firstColumn="1" w:lastColumn="0" w:noHBand="0" w:noVBand="1"/>
      </w:tblPr>
      <w:tblGrid>
        <w:gridCol w:w="3715"/>
        <w:gridCol w:w="1888"/>
        <w:gridCol w:w="1887"/>
        <w:gridCol w:w="1927"/>
        <w:gridCol w:w="222"/>
      </w:tblGrid>
      <w:tr w:rsidR="006E5B54" w14:paraId="7379AFCE" w14:textId="77777777" w:rsidTr="0063762C">
        <w:trPr>
          <w:gridAfter w:val="1"/>
          <w:wAfter w:w="194" w:type="dxa"/>
          <w:trHeight w:val="450"/>
        </w:trPr>
        <w:tc>
          <w:tcPr>
            <w:tcW w:w="371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ABC2B8A" w14:textId="77777777" w:rsidR="005D5808" w:rsidRPr="00690F07" w:rsidRDefault="00162F2E" w:rsidP="0063762C">
            <w:pPr>
              <w:spacing w:after="0"/>
              <w:jc w:val="center"/>
              <w:rPr>
                <w:rFonts w:eastAsia="Times New Roman" w:cs="Arial"/>
                <w:b/>
                <w:bCs/>
                <w:sz w:val="20"/>
                <w:szCs w:val="20"/>
                <w:lang w:eastAsia="en-GB"/>
              </w:rPr>
            </w:pPr>
            <w:r w:rsidRPr="00690F07">
              <w:rPr>
                <w:rFonts w:eastAsia="Times New Roman" w:cs="Arial"/>
                <w:b/>
                <w:bCs/>
                <w:sz w:val="20"/>
                <w:szCs w:val="20"/>
                <w:lang w:eastAsia="en-GB"/>
              </w:rPr>
              <w:t>Service Area</w:t>
            </w:r>
          </w:p>
        </w:tc>
        <w:tc>
          <w:tcPr>
            <w:tcW w:w="188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DF3056" w14:textId="77777777" w:rsidR="005D5808" w:rsidRPr="00690F07" w:rsidRDefault="00162F2E" w:rsidP="0063762C">
            <w:pPr>
              <w:spacing w:after="0"/>
              <w:jc w:val="center"/>
              <w:rPr>
                <w:rFonts w:eastAsia="Times New Roman" w:cs="Arial"/>
                <w:b/>
                <w:bCs/>
                <w:sz w:val="20"/>
                <w:szCs w:val="20"/>
                <w:lang w:eastAsia="en-GB"/>
              </w:rPr>
            </w:pPr>
            <w:r w:rsidRPr="00690F07">
              <w:rPr>
                <w:rFonts w:eastAsia="Times New Roman" w:cs="Arial"/>
                <w:b/>
                <w:bCs/>
                <w:sz w:val="20"/>
                <w:szCs w:val="20"/>
                <w:lang w:eastAsia="en-GB"/>
              </w:rPr>
              <w:t>Total delivery programme for 2021/22</w:t>
            </w:r>
          </w:p>
        </w:tc>
        <w:tc>
          <w:tcPr>
            <w:tcW w:w="18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4E3FF7" w14:textId="77777777" w:rsidR="005D5808" w:rsidRPr="00690F07" w:rsidRDefault="00162F2E" w:rsidP="0063762C">
            <w:pPr>
              <w:spacing w:after="0"/>
              <w:jc w:val="center"/>
              <w:rPr>
                <w:rFonts w:eastAsia="Times New Roman" w:cs="Arial"/>
                <w:b/>
                <w:bCs/>
                <w:sz w:val="20"/>
                <w:szCs w:val="20"/>
                <w:lang w:eastAsia="en-GB"/>
              </w:rPr>
            </w:pPr>
            <w:r w:rsidRPr="00690F07">
              <w:rPr>
                <w:rFonts w:eastAsia="Times New Roman" w:cs="Arial"/>
                <w:b/>
                <w:bCs/>
                <w:sz w:val="20"/>
                <w:szCs w:val="20"/>
                <w:lang w:eastAsia="en-GB"/>
              </w:rPr>
              <w:t>Outturn</w:t>
            </w:r>
          </w:p>
        </w:tc>
        <w:tc>
          <w:tcPr>
            <w:tcW w:w="19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4F8AFB6" w14:textId="77777777" w:rsidR="005D5808" w:rsidRPr="00690F07" w:rsidRDefault="00162F2E" w:rsidP="0063762C">
            <w:pPr>
              <w:spacing w:after="0"/>
              <w:jc w:val="center"/>
              <w:rPr>
                <w:rFonts w:eastAsia="Times New Roman" w:cs="Arial"/>
                <w:b/>
                <w:bCs/>
                <w:sz w:val="20"/>
                <w:szCs w:val="20"/>
                <w:lang w:eastAsia="en-GB"/>
              </w:rPr>
            </w:pPr>
            <w:r w:rsidRPr="00690F07">
              <w:rPr>
                <w:rFonts w:eastAsia="Times New Roman" w:cs="Arial"/>
                <w:b/>
                <w:bCs/>
                <w:sz w:val="20"/>
                <w:szCs w:val="20"/>
                <w:lang w:eastAsia="en-GB"/>
              </w:rPr>
              <w:t>Forecast Variance</w:t>
            </w:r>
          </w:p>
        </w:tc>
      </w:tr>
      <w:tr w:rsidR="006E5B54" w14:paraId="57FE0BAF" w14:textId="77777777" w:rsidTr="0063762C">
        <w:trPr>
          <w:trHeight w:val="609"/>
        </w:trPr>
        <w:tc>
          <w:tcPr>
            <w:tcW w:w="3715" w:type="dxa"/>
            <w:vMerge/>
            <w:tcBorders>
              <w:top w:val="single" w:sz="4" w:space="0" w:color="auto"/>
              <w:left w:val="single" w:sz="4" w:space="0" w:color="auto"/>
              <w:bottom w:val="single" w:sz="4" w:space="0" w:color="000000"/>
              <w:right w:val="single" w:sz="4" w:space="0" w:color="auto"/>
            </w:tcBorders>
            <w:vAlign w:val="center"/>
            <w:hideMark/>
          </w:tcPr>
          <w:p w14:paraId="1E5A781C" w14:textId="77777777" w:rsidR="005D5808" w:rsidRPr="00690F07" w:rsidRDefault="005D5808" w:rsidP="0063762C">
            <w:pPr>
              <w:spacing w:after="0"/>
              <w:rPr>
                <w:rFonts w:eastAsia="Times New Roman" w:cs="Arial"/>
                <w:b/>
                <w:bCs/>
                <w:sz w:val="20"/>
                <w:szCs w:val="20"/>
                <w:lang w:eastAsia="en-GB"/>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14:paraId="0FBE90D5" w14:textId="77777777" w:rsidR="005D5808" w:rsidRPr="00690F07" w:rsidRDefault="005D5808" w:rsidP="0063762C">
            <w:pPr>
              <w:spacing w:after="0"/>
              <w:rPr>
                <w:rFonts w:eastAsia="Times New Roman" w:cs="Arial"/>
                <w:b/>
                <w:bCs/>
                <w:sz w:val="20"/>
                <w:szCs w:val="20"/>
                <w:lang w:eastAsia="en-GB"/>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1CC6F9DF" w14:textId="77777777" w:rsidR="005D5808" w:rsidRPr="00690F07" w:rsidRDefault="005D5808" w:rsidP="0063762C">
            <w:pPr>
              <w:spacing w:after="0"/>
              <w:rPr>
                <w:rFonts w:eastAsia="Times New Roman" w:cs="Arial"/>
                <w:b/>
                <w:bCs/>
                <w:sz w:val="20"/>
                <w:szCs w:val="20"/>
                <w:lang w:eastAsia="en-GB"/>
              </w:rPr>
            </w:pPr>
          </w:p>
        </w:tc>
        <w:tc>
          <w:tcPr>
            <w:tcW w:w="1927" w:type="dxa"/>
            <w:vMerge/>
            <w:tcBorders>
              <w:top w:val="single" w:sz="4" w:space="0" w:color="auto"/>
              <w:left w:val="single" w:sz="4" w:space="0" w:color="auto"/>
              <w:bottom w:val="single" w:sz="4" w:space="0" w:color="000000"/>
              <w:right w:val="single" w:sz="4" w:space="0" w:color="auto"/>
            </w:tcBorders>
            <w:vAlign w:val="center"/>
            <w:hideMark/>
          </w:tcPr>
          <w:p w14:paraId="186CA639" w14:textId="77777777" w:rsidR="005D5808" w:rsidRPr="00690F07" w:rsidRDefault="005D5808" w:rsidP="0063762C">
            <w:pPr>
              <w:spacing w:after="0"/>
              <w:rPr>
                <w:rFonts w:eastAsia="Times New Roman" w:cs="Arial"/>
                <w:b/>
                <w:bCs/>
                <w:sz w:val="20"/>
                <w:szCs w:val="20"/>
                <w:lang w:eastAsia="en-GB"/>
              </w:rPr>
            </w:pPr>
          </w:p>
        </w:tc>
        <w:tc>
          <w:tcPr>
            <w:tcW w:w="194" w:type="dxa"/>
            <w:tcBorders>
              <w:top w:val="nil"/>
              <w:left w:val="nil"/>
              <w:bottom w:val="nil"/>
              <w:right w:val="nil"/>
            </w:tcBorders>
            <w:shd w:val="clear" w:color="auto" w:fill="auto"/>
            <w:noWrap/>
            <w:vAlign w:val="bottom"/>
            <w:hideMark/>
          </w:tcPr>
          <w:p w14:paraId="1B3193C1" w14:textId="77777777" w:rsidR="005D5808" w:rsidRPr="00690F07" w:rsidRDefault="005D5808" w:rsidP="0063762C">
            <w:pPr>
              <w:spacing w:after="0"/>
              <w:jc w:val="center"/>
              <w:rPr>
                <w:rFonts w:eastAsia="Times New Roman" w:cs="Arial"/>
                <w:b/>
                <w:bCs/>
                <w:sz w:val="20"/>
                <w:szCs w:val="20"/>
                <w:lang w:eastAsia="en-GB"/>
              </w:rPr>
            </w:pPr>
          </w:p>
        </w:tc>
      </w:tr>
      <w:tr w:rsidR="006E5B54" w14:paraId="1AF2677F" w14:textId="77777777" w:rsidTr="0063762C">
        <w:trPr>
          <w:trHeight w:val="309"/>
        </w:trPr>
        <w:tc>
          <w:tcPr>
            <w:tcW w:w="3715" w:type="dxa"/>
            <w:vMerge/>
            <w:tcBorders>
              <w:top w:val="single" w:sz="4" w:space="0" w:color="auto"/>
              <w:left w:val="single" w:sz="4" w:space="0" w:color="auto"/>
              <w:bottom w:val="single" w:sz="4" w:space="0" w:color="000000"/>
              <w:right w:val="single" w:sz="4" w:space="0" w:color="auto"/>
            </w:tcBorders>
            <w:vAlign w:val="center"/>
            <w:hideMark/>
          </w:tcPr>
          <w:p w14:paraId="481317BC" w14:textId="77777777" w:rsidR="005D5808" w:rsidRPr="00690F07" w:rsidRDefault="005D5808" w:rsidP="0063762C">
            <w:pPr>
              <w:spacing w:after="0"/>
              <w:rPr>
                <w:rFonts w:eastAsia="Times New Roman" w:cs="Arial"/>
                <w:b/>
                <w:bCs/>
                <w:sz w:val="20"/>
                <w:szCs w:val="20"/>
                <w:lang w:eastAsia="en-GB"/>
              </w:rPr>
            </w:pPr>
          </w:p>
        </w:tc>
        <w:tc>
          <w:tcPr>
            <w:tcW w:w="1888" w:type="dxa"/>
            <w:tcBorders>
              <w:top w:val="nil"/>
              <w:left w:val="nil"/>
              <w:bottom w:val="single" w:sz="4" w:space="0" w:color="auto"/>
              <w:right w:val="single" w:sz="4" w:space="0" w:color="auto"/>
            </w:tcBorders>
            <w:shd w:val="clear" w:color="000000" w:fill="D9D9D9"/>
            <w:noWrap/>
            <w:vAlign w:val="center"/>
            <w:hideMark/>
          </w:tcPr>
          <w:p w14:paraId="1F825500" w14:textId="77777777" w:rsidR="005D5808" w:rsidRPr="00690F07" w:rsidRDefault="00162F2E" w:rsidP="0063762C">
            <w:pPr>
              <w:spacing w:after="0"/>
              <w:jc w:val="center"/>
              <w:rPr>
                <w:rFonts w:eastAsia="Times New Roman" w:cs="Arial"/>
                <w:b/>
                <w:bCs/>
                <w:sz w:val="20"/>
                <w:szCs w:val="20"/>
                <w:lang w:eastAsia="en-GB"/>
              </w:rPr>
            </w:pPr>
            <w:r w:rsidRPr="00690F07">
              <w:rPr>
                <w:rFonts w:eastAsia="Times New Roman" w:cs="Arial"/>
                <w:b/>
                <w:bCs/>
                <w:sz w:val="20"/>
                <w:szCs w:val="20"/>
                <w:lang w:eastAsia="en-GB"/>
              </w:rPr>
              <w:t>£m</w:t>
            </w:r>
          </w:p>
        </w:tc>
        <w:tc>
          <w:tcPr>
            <w:tcW w:w="1887" w:type="dxa"/>
            <w:tcBorders>
              <w:top w:val="nil"/>
              <w:left w:val="nil"/>
              <w:bottom w:val="single" w:sz="4" w:space="0" w:color="auto"/>
              <w:right w:val="single" w:sz="4" w:space="0" w:color="auto"/>
            </w:tcBorders>
            <w:shd w:val="clear" w:color="000000" w:fill="D9D9D9"/>
            <w:noWrap/>
            <w:vAlign w:val="center"/>
            <w:hideMark/>
          </w:tcPr>
          <w:p w14:paraId="6603A256" w14:textId="77777777" w:rsidR="005D5808" w:rsidRPr="00690F07" w:rsidRDefault="00162F2E" w:rsidP="0063762C">
            <w:pPr>
              <w:spacing w:after="0"/>
              <w:jc w:val="center"/>
              <w:rPr>
                <w:rFonts w:eastAsia="Times New Roman" w:cs="Arial"/>
                <w:b/>
                <w:bCs/>
                <w:sz w:val="20"/>
                <w:szCs w:val="20"/>
                <w:lang w:eastAsia="en-GB"/>
              </w:rPr>
            </w:pPr>
            <w:r w:rsidRPr="00690F07">
              <w:rPr>
                <w:rFonts w:eastAsia="Times New Roman" w:cs="Arial"/>
                <w:b/>
                <w:bCs/>
                <w:sz w:val="20"/>
                <w:szCs w:val="20"/>
                <w:lang w:eastAsia="en-GB"/>
              </w:rPr>
              <w:t>£m</w:t>
            </w:r>
          </w:p>
        </w:tc>
        <w:tc>
          <w:tcPr>
            <w:tcW w:w="1927" w:type="dxa"/>
            <w:tcBorders>
              <w:top w:val="nil"/>
              <w:left w:val="single" w:sz="4" w:space="0" w:color="auto"/>
              <w:bottom w:val="single" w:sz="4" w:space="0" w:color="auto"/>
              <w:right w:val="single" w:sz="4" w:space="0" w:color="auto"/>
            </w:tcBorders>
            <w:shd w:val="clear" w:color="000000" w:fill="D9D9D9"/>
            <w:noWrap/>
            <w:vAlign w:val="center"/>
            <w:hideMark/>
          </w:tcPr>
          <w:p w14:paraId="3477A611" w14:textId="77777777" w:rsidR="005D5808" w:rsidRPr="00690F07" w:rsidRDefault="00162F2E" w:rsidP="0063762C">
            <w:pPr>
              <w:spacing w:after="0"/>
              <w:jc w:val="center"/>
              <w:rPr>
                <w:rFonts w:eastAsia="Times New Roman" w:cs="Arial"/>
                <w:b/>
                <w:bCs/>
                <w:sz w:val="20"/>
                <w:szCs w:val="20"/>
                <w:lang w:eastAsia="en-GB"/>
              </w:rPr>
            </w:pPr>
            <w:r w:rsidRPr="00690F07">
              <w:rPr>
                <w:rFonts w:eastAsia="Times New Roman" w:cs="Arial"/>
                <w:b/>
                <w:bCs/>
                <w:sz w:val="20"/>
                <w:szCs w:val="20"/>
                <w:lang w:eastAsia="en-GB"/>
              </w:rPr>
              <w:t xml:space="preserve">£m </w:t>
            </w:r>
          </w:p>
        </w:tc>
        <w:tc>
          <w:tcPr>
            <w:tcW w:w="194" w:type="dxa"/>
            <w:vAlign w:val="center"/>
            <w:hideMark/>
          </w:tcPr>
          <w:p w14:paraId="6D2AB86F"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37014B1B"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60793FA3"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Schools (exc DFC)</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268B3B84"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23.576 </w:t>
            </w:r>
          </w:p>
        </w:tc>
        <w:tc>
          <w:tcPr>
            <w:tcW w:w="1887" w:type="dxa"/>
            <w:tcBorders>
              <w:top w:val="nil"/>
              <w:left w:val="nil"/>
              <w:bottom w:val="single" w:sz="4" w:space="0" w:color="auto"/>
              <w:right w:val="single" w:sz="4" w:space="0" w:color="auto"/>
            </w:tcBorders>
            <w:shd w:val="clear" w:color="auto" w:fill="auto"/>
            <w:noWrap/>
            <w:vAlign w:val="center"/>
            <w:hideMark/>
          </w:tcPr>
          <w:p w14:paraId="4676EEA0"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24.445 </w:t>
            </w:r>
          </w:p>
        </w:tc>
        <w:tc>
          <w:tcPr>
            <w:tcW w:w="1927" w:type="dxa"/>
            <w:tcBorders>
              <w:top w:val="nil"/>
              <w:left w:val="nil"/>
              <w:bottom w:val="single" w:sz="4" w:space="0" w:color="auto"/>
              <w:right w:val="single" w:sz="4" w:space="0" w:color="auto"/>
            </w:tcBorders>
            <w:shd w:val="clear" w:color="000000" w:fill="D9D9D9"/>
            <w:noWrap/>
            <w:vAlign w:val="center"/>
            <w:hideMark/>
          </w:tcPr>
          <w:p w14:paraId="5BAD4864"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0.869 </w:t>
            </w:r>
          </w:p>
        </w:tc>
        <w:tc>
          <w:tcPr>
            <w:tcW w:w="194" w:type="dxa"/>
            <w:vAlign w:val="center"/>
            <w:hideMark/>
          </w:tcPr>
          <w:p w14:paraId="21BEFD1F"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6CAED702"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47AB112B"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Schools DFC</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08BE679B"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2.380 </w:t>
            </w:r>
          </w:p>
        </w:tc>
        <w:tc>
          <w:tcPr>
            <w:tcW w:w="1887" w:type="dxa"/>
            <w:tcBorders>
              <w:top w:val="nil"/>
              <w:left w:val="nil"/>
              <w:bottom w:val="single" w:sz="4" w:space="0" w:color="auto"/>
              <w:right w:val="single" w:sz="4" w:space="0" w:color="auto"/>
            </w:tcBorders>
            <w:shd w:val="clear" w:color="auto" w:fill="auto"/>
            <w:noWrap/>
            <w:vAlign w:val="center"/>
            <w:hideMark/>
          </w:tcPr>
          <w:p w14:paraId="0B9955A4"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2.654 </w:t>
            </w:r>
          </w:p>
        </w:tc>
        <w:tc>
          <w:tcPr>
            <w:tcW w:w="1927" w:type="dxa"/>
            <w:tcBorders>
              <w:top w:val="nil"/>
              <w:left w:val="nil"/>
              <w:bottom w:val="single" w:sz="4" w:space="0" w:color="auto"/>
              <w:right w:val="single" w:sz="4" w:space="0" w:color="auto"/>
            </w:tcBorders>
            <w:shd w:val="clear" w:color="000000" w:fill="D9D9D9"/>
            <w:noWrap/>
            <w:vAlign w:val="center"/>
            <w:hideMark/>
          </w:tcPr>
          <w:p w14:paraId="14772E20"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0.274 </w:t>
            </w:r>
          </w:p>
        </w:tc>
        <w:tc>
          <w:tcPr>
            <w:tcW w:w="194" w:type="dxa"/>
            <w:vAlign w:val="center"/>
            <w:hideMark/>
          </w:tcPr>
          <w:p w14:paraId="3B314848"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31AA5DB0"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0A7B544D"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Highways</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385DC918"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53.933 </w:t>
            </w:r>
          </w:p>
        </w:tc>
        <w:tc>
          <w:tcPr>
            <w:tcW w:w="1887" w:type="dxa"/>
            <w:tcBorders>
              <w:top w:val="nil"/>
              <w:left w:val="nil"/>
              <w:bottom w:val="single" w:sz="4" w:space="0" w:color="auto"/>
              <w:right w:val="single" w:sz="4" w:space="0" w:color="auto"/>
            </w:tcBorders>
            <w:shd w:val="clear" w:color="auto" w:fill="auto"/>
            <w:noWrap/>
            <w:vAlign w:val="center"/>
            <w:hideMark/>
          </w:tcPr>
          <w:p w14:paraId="00F85D43"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59.794 </w:t>
            </w:r>
          </w:p>
        </w:tc>
        <w:tc>
          <w:tcPr>
            <w:tcW w:w="1927" w:type="dxa"/>
            <w:tcBorders>
              <w:top w:val="nil"/>
              <w:left w:val="nil"/>
              <w:bottom w:val="single" w:sz="4" w:space="0" w:color="auto"/>
              <w:right w:val="single" w:sz="4" w:space="0" w:color="auto"/>
            </w:tcBorders>
            <w:shd w:val="clear" w:color="000000" w:fill="D9D9D9"/>
            <w:noWrap/>
            <w:vAlign w:val="center"/>
            <w:hideMark/>
          </w:tcPr>
          <w:p w14:paraId="531E8803"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5.861 </w:t>
            </w:r>
          </w:p>
        </w:tc>
        <w:tc>
          <w:tcPr>
            <w:tcW w:w="194" w:type="dxa"/>
            <w:vAlign w:val="center"/>
            <w:hideMark/>
          </w:tcPr>
          <w:p w14:paraId="5554CF87"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27256407"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6FD8F523"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Transport</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71413580"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15.958 </w:t>
            </w:r>
          </w:p>
        </w:tc>
        <w:tc>
          <w:tcPr>
            <w:tcW w:w="1887" w:type="dxa"/>
            <w:tcBorders>
              <w:top w:val="nil"/>
              <w:left w:val="nil"/>
              <w:bottom w:val="single" w:sz="4" w:space="0" w:color="auto"/>
              <w:right w:val="single" w:sz="4" w:space="0" w:color="auto"/>
            </w:tcBorders>
            <w:shd w:val="clear" w:color="auto" w:fill="auto"/>
            <w:noWrap/>
            <w:vAlign w:val="center"/>
            <w:hideMark/>
          </w:tcPr>
          <w:p w14:paraId="6DAE5E04"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14.856 </w:t>
            </w:r>
          </w:p>
        </w:tc>
        <w:tc>
          <w:tcPr>
            <w:tcW w:w="1927" w:type="dxa"/>
            <w:tcBorders>
              <w:top w:val="nil"/>
              <w:left w:val="nil"/>
              <w:bottom w:val="single" w:sz="4" w:space="0" w:color="auto"/>
              <w:right w:val="single" w:sz="4" w:space="0" w:color="auto"/>
            </w:tcBorders>
            <w:shd w:val="clear" w:color="000000" w:fill="D9D9D9"/>
            <w:noWrap/>
            <w:vAlign w:val="center"/>
            <w:hideMark/>
          </w:tcPr>
          <w:p w14:paraId="5559BCA8"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-1.102 </w:t>
            </w:r>
          </w:p>
        </w:tc>
        <w:tc>
          <w:tcPr>
            <w:tcW w:w="194" w:type="dxa"/>
            <w:vAlign w:val="center"/>
            <w:hideMark/>
          </w:tcPr>
          <w:p w14:paraId="6EA766F3"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4A38C1CB"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607B1BCF"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Externally Funded</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6DE6C809"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7.432 </w:t>
            </w:r>
          </w:p>
        </w:tc>
        <w:tc>
          <w:tcPr>
            <w:tcW w:w="1887" w:type="dxa"/>
            <w:tcBorders>
              <w:top w:val="nil"/>
              <w:left w:val="nil"/>
              <w:bottom w:val="single" w:sz="4" w:space="0" w:color="auto"/>
              <w:right w:val="single" w:sz="4" w:space="0" w:color="auto"/>
            </w:tcBorders>
            <w:shd w:val="clear" w:color="auto" w:fill="auto"/>
            <w:noWrap/>
            <w:vAlign w:val="center"/>
            <w:hideMark/>
          </w:tcPr>
          <w:p w14:paraId="4994FA6E"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6.712 </w:t>
            </w:r>
          </w:p>
        </w:tc>
        <w:tc>
          <w:tcPr>
            <w:tcW w:w="1927" w:type="dxa"/>
            <w:tcBorders>
              <w:top w:val="nil"/>
              <w:left w:val="nil"/>
              <w:bottom w:val="single" w:sz="4" w:space="0" w:color="auto"/>
              <w:right w:val="single" w:sz="4" w:space="0" w:color="auto"/>
            </w:tcBorders>
            <w:shd w:val="clear" w:color="000000" w:fill="D9D9D9"/>
            <w:noWrap/>
            <w:vAlign w:val="center"/>
            <w:hideMark/>
          </w:tcPr>
          <w:p w14:paraId="73581CDC"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-0.720 </w:t>
            </w:r>
          </w:p>
        </w:tc>
        <w:tc>
          <w:tcPr>
            <w:tcW w:w="194" w:type="dxa"/>
            <w:vAlign w:val="center"/>
            <w:hideMark/>
          </w:tcPr>
          <w:p w14:paraId="16580807"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21A70612"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7E6F6CFF"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Central Systems &amp; ICT</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13B57431"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12.656 </w:t>
            </w:r>
          </w:p>
        </w:tc>
        <w:tc>
          <w:tcPr>
            <w:tcW w:w="1887" w:type="dxa"/>
            <w:tcBorders>
              <w:top w:val="nil"/>
              <w:left w:val="nil"/>
              <w:bottom w:val="single" w:sz="4" w:space="0" w:color="auto"/>
              <w:right w:val="single" w:sz="4" w:space="0" w:color="auto"/>
            </w:tcBorders>
            <w:shd w:val="clear" w:color="auto" w:fill="auto"/>
            <w:noWrap/>
            <w:vAlign w:val="center"/>
            <w:hideMark/>
          </w:tcPr>
          <w:p w14:paraId="33373187"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7.952 </w:t>
            </w:r>
          </w:p>
        </w:tc>
        <w:tc>
          <w:tcPr>
            <w:tcW w:w="1927" w:type="dxa"/>
            <w:tcBorders>
              <w:top w:val="nil"/>
              <w:left w:val="nil"/>
              <w:bottom w:val="single" w:sz="4" w:space="0" w:color="auto"/>
              <w:right w:val="single" w:sz="4" w:space="0" w:color="auto"/>
            </w:tcBorders>
            <w:shd w:val="clear" w:color="000000" w:fill="D9D9D9"/>
            <w:noWrap/>
            <w:vAlign w:val="center"/>
            <w:hideMark/>
          </w:tcPr>
          <w:p w14:paraId="6773C495"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-4.704 </w:t>
            </w:r>
          </w:p>
        </w:tc>
        <w:tc>
          <w:tcPr>
            <w:tcW w:w="194" w:type="dxa"/>
            <w:vAlign w:val="center"/>
            <w:hideMark/>
          </w:tcPr>
          <w:p w14:paraId="5F497F57"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6277F27F"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1FA0B5BC"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Adults Social Care</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7368B4ED"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17.313 </w:t>
            </w:r>
          </w:p>
        </w:tc>
        <w:tc>
          <w:tcPr>
            <w:tcW w:w="1887" w:type="dxa"/>
            <w:tcBorders>
              <w:top w:val="nil"/>
              <w:left w:val="nil"/>
              <w:bottom w:val="single" w:sz="4" w:space="0" w:color="auto"/>
              <w:right w:val="single" w:sz="4" w:space="0" w:color="auto"/>
            </w:tcBorders>
            <w:shd w:val="clear" w:color="auto" w:fill="auto"/>
            <w:noWrap/>
            <w:vAlign w:val="center"/>
            <w:hideMark/>
          </w:tcPr>
          <w:p w14:paraId="12F1DAD1"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16.773 </w:t>
            </w:r>
          </w:p>
        </w:tc>
        <w:tc>
          <w:tcPr>
            <w:tcW w:w="1927" w:type="dxa"/>
            <w:tcBorders>
              <w:top w:val="nil"/>
              <w:left w:val="nil"/>
              <w:bottom w:val="single" w:sz="4" w:space="0" w:color="auto"/>
              <w:right w:val="single" w:sz="4" w:space="0" w:color="auto"/>
            </w:tcBorders>
            <w:shd w:val="clear" w:color="000000" w:fill="D9D9D9"/>
            <w:noWrap/>
            <w:vAlign w:val="center"/>
            <w:hideMark/>
          </w:tcPr>
          <w:p w14:paraId="63643AFF"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-0.540 </w:t>
            </w:r>
          </w:p>
        </w:tc>
        <w:tc>
          <w:tcPr>
            <w:tcW w:w="194" w:type="dxa"/>
            <w:vAlign w:val="center"/>
            <w:hideMark/>
          </w:tcPr>
          <w:p w14:paraId="173835E3"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4C0A9A7F"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2E9ED259"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Corporate - Property</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1DF85C80"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11.439 </w:t>
            </w:r>
          </w:p>
        </w:tc>
        <w:tc>
          <w:tcPr>
            <w:tcW w:w="1887" w:type="dxa"/>
            <w:tcBorders>
              <w:top w:val="nil"/>
              <w:left w:val="nil"/>
              <w:bottom w:val="single" w:sz="4" w:space="0" w:color="auto"/>
              <w:right w:val="single" w:sz="4" w:space="0" w:color="auto"/>
            </w:tcBorders>
            <w:shd w:val="clear" w:color="auto" w:fill="auto"/>
            <w:noWrap/>
            <w:vAlign w:val="center"/>
            <w:hideMark/>
          </w:tcPr>
          <w:p w14:paraId="5C016EDE"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7.852 </w:t>
            </w:r>
          </w:p>
        </w:tc>
        <w:tc>
          <w:tcPr>
            <w:tcW w:w="1927" w:type="dxa"/>
            <w:tcBorders>
              <w:top w:val="nil"/>
              <w:left w:val="nil"/>
              <w:bottom w:val="single" w:sz="4" w:space="0" w:color="auto"/>
              <w:right w:val="single" w:sz="4" w:space="0" w:color="auto"/>
            </w:tcBorders>
            <w:shd w:val="clear" w:color="000000" w:fill="D9D9D9"/>
            <w:noWrap/>
            <w:vAlign w:val="center"/>
            <w:hideMark/>
          </w:tcPr>
          <w:p w14:paraId="3E0728B8"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-3.587 </w:t>
            </w:r>
          </w:p>
        </w:tc>
        <w:tc>
          <w:tcPr>
            <w:tcW w:w="194" w:type="dxa"/>
            <w:vAlign w:val="center"/>
            <w:hideMark/>
          </w:tcPr>
          <w:p w14:paraId="33B1EE2A"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5E379372"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4DD5E0CA"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Economic Development</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211D7961"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11.989 </w:t>
            </w:r>
          </w:p>
        </w:tc>
        <w:tc>
          <w:tcPr>
            <w:tcW w:w="1887" w:type="dxa"/>
            <w:tcBorders>
              <w:top w:val="nil"/>
              <w:left w:val="nil"/>
              <w:bottom w:val="single" w:sz="4" w:space="0" w:color="auto"/>
              <w:right w:val="single" w:sz="4" w:space="0" w:color="auto"/>
            </w:tcBorders>
            <w:shd w:val="clear" w:color="auto" w:fill="auto"/>
            <w:noWrap/>
            <w:vAlign w:val="center"/>
            <w:hideMark/>
          </w:tcPr>
          <w:p w14:paraId="02C64978"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13.900 </w:t>
            </w:r>
          </w:p>
        </w:tc>
        <w:tc>
          <w:tcPr>
            <w:tcW w:w="1927" w:type="dxa"/>
            <w:tcBorders>
              <w:top w:val="nil"/>
              <w:left w:val="nil"/>
              <w:bottom w:val="single" w:sz="4" w:space="0" w:color="auto"/>
              <w:right w:val="single" w:sz="4" w:space="0" w:color="auto"/>
            </w:tcBorders>
            <w:shd w:val="clear" w:color="000000" w:fill="D9D9D9"/>
            <w:noWrap/>
            <w:vAlign w:val="center"/>
            <w:hideMark/>
          </w:tcPr>
          <w:p w14:paraId="0BFD4229"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1.911 </w:t>
            </w:r>
          </w:p>
        </w:tc>
        <w:tc>
          <w:tcPr>
            <w:tcW w:w="194" w:type="dxa"/>
            <w:vAlign w:val="center"/>
            <w:hideMark/>
          </w:tcPr>
          <w:p w14:paraId="0DDFCFE7"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38EEA9D1"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15205266"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South Lancaster Growth Catalyst</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1405C3E9"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4.100 </w:t>
            </w:r>
          </w:p>
        </w:tc>
        <w:tc>
          <w:tcPr>
            <w:tcW w:w="1887" w:type="dxa"/>
            <w:tcBorders>
              <w:top w:val="nil"/>
              <w:left w:val="nil"/>
              <w:bottom w:val="single" w:sz="4" w:space="0" w:color="auto"/>
              <w:right w:val="single" w:sz="4" w:space="0" w:color="auto"/>
            </w:tcBorders>
            <w:shd w:val="clear" w:color="auto" w:fill="auto"/>
            <w:noWrap/>
            <w:vAlign w:val="center"/>
            <w:hideMark/>
          </w:tcPr>
          <w:p w14:paraId="3C39859B"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1.676 </w:t>
            </w:r>
          </w:p>
        </w:tc>
        <w:tc>
          <w:tcPr>
            <w:tcW w:w="1927" w:type="dxa"/>
            <w:tcBorders>
              <w:top w:val="nil"/>
              <w:left w:val="nil"/>
              <w:bottom w:val="single" w:sz="4" w:space="0" w:color="auto"/>
              <w:right w:val="single" w:sz="4" w:space="0" w:color="auto"/>
            </w:tcBorders>
            <w:shd w:val="clear" w:color="000000" w:fill="D9D9D9"/>
            <w:noWrap/>
            <w:vAlign w:val="center"/>
            <w:hideMark/>
          </w:tcPr>
          <w:p w14:paraId="05C75B7C"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-2.424 </w:t>
            </w:r>
          </w:p>
        </w:tc>
        <w:tc>
          <w:tcPr>
            <w:tcW w:w="194" w:type="dxa"/>
            <w:vAlign w:val="center"/>
            <w:hideMark/>
          </w:tcPr>
          <w:p w14:paraId="4C0D6529"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4EA21DB3"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36F57B30"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Vehicles</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0283A620" w14:textId="77777777" w:rsidR="005D5808" w:rsidRPr="00690F07" w:rsidRDefault="00162F2E" w:rsidP="0063762C">
            <w:pPr>
              <w:spacing w:after="0"/>
              <w:jc w:val="right"/>
              <w:rPr>
                <w:rFonts w:ascii="Calibri" w:eastAsia="Times New Roman" w:hAnsi="Calibri" w:cs="Calibri"/>
                <w:lang w:eastAsia="en-GB"/>
              </w:rPr>
            </w:pPr>
            <w:r w:rsidRPr="00690F07">
              <w:rPr>
                <w:rFonts w:ascii="Calibri" w:eastAsia="Times New Roman" w:hAnsi="Calibri" w:cs="Calibri"/>
                <w:lang w:eastAsia="en-GB"/>
              </w:rPr>
              <w:t xml:space="preserve">3.999 </w:t>
            </w:r>
          </w:p>
        </w:tc>
        <w:tc>
          <w:tcPr>
            <w:tcW w:w="1887" w:type="dxa"/>
            <w:tcBorders>
              <w:top w:val="nil"/>
              <w:left w:val="nil"/>
              <w:bottom w:val="single" w:sz="4" w:space="0" w:color="auto"/>
              <w:right w:val="single" w:sz="4" w:space="0" w:color="auto"/>
            </w:tcBorders>
            <w:shd w:val="clear" w:color="auto" w:fill="auto"/>
            <w:noWrap/>
            <w:vAlign w:val="center"/>
            <w:hideMark/>
          </w:tcPr>
          <w:p w14:paraId="0F88CA42" w14:textId="77777777" w:rsidR="005D5808" w:rsidRPr="00690F07" w:rsidRDefault="00162F2E" w:rsidP="0063762C">
            <w:pPr>
              <w:spacing w:after="0"/>
              <w:jc w:val="right"/>
              <w:rPr>
                <w:rFonts w:ascii="Calibri" w:eastAsia="Times New Roman" w:hAnsi="Calibri" w:cs="Calibri"/>
                <w:lang w:eastAsia="en-GB"/>
              </w:rPr>
            </w:pPr>
            <w:r w:rsidRPr="00690F07">
              <w:rPr>
                <w:rFonts w:ascii="Calibri" w:eastAsia="Times New Roman" w:hAnsi="Calibri" w:cs="Calibri"/>
                <w:lang w:eastAsia="en-GB"/>
              </w:rPr>
              <w:t xml:space="preserve">4.709 </w:t>
            </w:r>
          </w:p>
        </w:tc>
        <w:tc>
          <w:tcPr>
            <w:tcW w:w="1927" w:type="dxa"/>
            <w:tcBorders>
              <w:top w:val="nil"/>
              <w:left w:val="nil"/>
              <w:bottom w:val="single" w:sz="4" w:space="0" w:color="auto"/>
              <w:right w:val="single" w:sz="4" w:space="0" w:color="auto"/>
            </w:tcBorders>
            <w:shd w:val="clear" w:color="000000" w:fill="D9D9D9"/>
            <w:noWrap/>
            <w:vAlign w:val="center"/>
            <w:hideMark/>
          </w:tcPr>
          <w:p w14:paraId="0DC3F50A"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0.710 </w:t>
            </w:r>
          </w:p>
        </w:tc>
        <w:tc>
          <w:tcPr>
            <w:tcW w:w="194" w:type="dxa"/>
            <w:vAlign w:val="center"/>
            <w:hideMark/>
          </w:tcPr>
          <w:p w14:paraId="319C2772"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7908C37A" w14:textId="77777777" w:rsidTr="0063762C">
        <w:trPr>
          <w:trHeight w:val="309"/>
        </w:trPr>
        <w:tc>
          <w:tcPr>
            <w:tcW w:w="3715" w:type="dxa"/>
            <w:tcBorders>
              <w:top w:val="nil"/>
              <w:left w:val="single" w:sz="4" w:space="0" w:color="auto"/>
              <w:bottom w:val="single" w:sz="4" w:space="0" w:color="auto"/>
              <w:right w:val="nil"/>
            </w:tcBorders>
            <w:shd w:val="clear" w:color="auto" w:fill="auto"/>
            <w:noWrap/>
            <w:vAlign w:val="center"/>
            <w:hideMark/>
          </w:tcPr>
          <w:p w14:paraId="3C5A3B56" w14:textId="77777777" w:rsidR="005D5808" w:rsidRPr="00690F07" w:rsidRDefault="00162F2E" w:rsidP="0063762C">
            <w:pPr>
              <w:spacing w:after="0"/>
              <w:rPr>
                <w:rFonts w:eastAsia="Times New Roman" w:cs="Arial"/>
                <w:sz w:val="20"/>
                <w:szCs w:val="20"/>
                <w:lang w:eastAsia="en-GB"/>
              </w:rPr>
            </w:pPr>
            <w:r w:rsidRPr="00690F07">
              <w:rPr>
                <w:rFonts w:eastAsia="Times New Roman" w:cs="Arial"/>
                <w:sz w:val="20"/>
                <w:szCs w:val="20"/>
                <w:lang w:eastAsia="en-GB"/>
              </w:rPr>
              <w:t>Transforming Cities</w:t>
            </w:r>
          </w:p>
        </w:tc>
        <w:tc>
          <w:tcPr>
            <w:tcW w:w="1888" w:type="dxa"/>
            <w:tcBorders>
              <w:top w:val="nil"/>
              <w:left w:val="single" w:sz="4" w:space="0" w:color="auto"/>
              <w:bottom w:val="single" w:sz="4" w:space="0" w:color="auto"/>
              <w:right w:val="single" w:sz="4" w:space="0" w:color="auto"/>
            </w:tcBorders>
            <w:shd w:val="clear" w:color="auto" w:fill="auto"/>
            <w:noWrap/>
            <w:vAlign w:val="center"/>
            <w:hideMark/>
          </w:tcPr>
          <w:p w14:paraId="6CA32DE1"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5.788 </w:t>
            </w:r>
          </w:p>
        </w:tc>
        <w:tc>
          <w:tcPr>
            <w:tcW w:w="1887" w:type="dxa"/>
            <w:tcBorders>
              <w:top w:val="nil"/>
              <w:left w:val="nil"/>
              <w:bottom w:val="single" w:sz="4" w:space="0" w:color="auto"/>
              <w:right w:val="single" w:sz="4" w:space="0" w:color="auto"/>
            </w:tcBorders>
            <w:shd w:val="clear" w:color="auto" w:fill="auto"/>
            <w:noWrap/>
            <w:vAlign w:val="center"/>
            <w:hideMark/>
          </w:tcPr>
          <w:p w14:paraId="4B23F032"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2.801 </w:t>
            </w:r>
          </w:p>
        </w:tc>
        <w:tc>
          <w:tcPr>
            <w:tcW w:w="1927" w:type="dxa"/>
            <w:tcBorders>
              <w:top w:val="nil"/>
              <w:left w:val="nil"/>
              <w:bottom w:val="single" w:sz="4" w:space="0" w:color="auto"/>
              <w:right w:val="single" w:sz="4" w:space="0" w:color="auto"/>
            </w:tcBorders>
            <w:shd w:val="clear" w:color="000000" w:fill="D9D9D9"/>
            <w:noWrap/>
            <w:vAlign w:val="center"/>
            <w:hideMark/>
          </w:tcPr>
          <w:p w14:paraId="3CC297E3" w14:textId="77777777" w:rsidR="005D5808" w:rsidRPr="00690F07" w:rsidRDefault="00162F2E" w:rsidP="0063762C">
            <w:pPr>
              <w:spacing w:after="0"/>
              <w:jc w:val="right"/>
              <w:rPr>
                <w:rFonts w:eastAsia="Times New Roman" w:cs="Arial"/>
                <w:sz w:val="20"/>
                <w:szCs w:val="20"/>
                <w:lang w:eastAsia="en-GB"/>
              </w:rPr>
            </w:pPr>
            <w:r w:rsidRPr="00690F07">
              <w:rPr>
                <w:rFonts w:eastAsia="Times New Roman" w:cs="Arial"/>
                <w:sz w:val="20"/>
                <w:szCs w:val="20"/>
                <w:lang w:eastAsia="en-GB"/>
              </w:rPr>
              <w:t xml:space="preserve">-2.987 </w:t>
            </w:r>
          </w:p>
        </w:tc>
        <w:tc>
          <w:tcPr>
            <w:tcW w:w="194" w:type="dxa"/>
            <w:vAlign w:val="center"/>
            <w:hideMark/>
          </w:tcPr>
          <w:p w14:paraId="1049C49F" w14:textId="77777777" w:rsidR="005D5808" w:rsidRPr="00690F07" w:rsidRDefault="005D5808" w:rsidP="0063762C">
            <w:pPr>
              <w:spacing w:after="0"/>
              <w:rPr>
                <w:rFonts w:ascii="Times New Roman" w:eastAsia="Times New Roman" w:hAnsi="Times New Roman" w:cs="Times New Roman"/>
                <w:sz w:val="20"/>
                <w:szCs w:val="20"/>
                <w:lang w:eastAsia="en-GB"/>
              </w:rPr>
            </w:pPr>
          </w:p>
        </w:tc>
      </w:tr>
      <w:tr w:rsidR="006E5B54" w14:paraId="5B6A7231" w14:textId="77777777" w:rsidTr="0063762C">
        <w:trPr>
          <w:trHeight w:val="340"/>
        </w:trPr>
        <w:tc>
          <w:tcPr>
            <w:tcW w:w="3715" w:type="dxa"/>
            <w:tcBorders>
              <w:top w:val="nil"/>
              <w:left w:val="single" w:sz="4" w:space="0" w:color="auto"/>
              <w:bottom w:val="single" w:sz="4" w:space="0" w:color="auto"/>
              <w:right w:val="nil"/>
            </w:tcBorders>
            <w:shd w:val="clear" w:color="auto" w:fill="auto"/>
            <w:noWrap/>
            <w:vAlign w:val="center"/>
            <w:hideMark/>
          </w:tcPr>
          <w:p w14:paraId="6040169B" w14:textId="77777777" w:rsidR="005D5808" w:rsidRPr="00690F07" w:rsidRDefault="00162F2E" w:rsidP="0063762C">
            <w:pPr>
              <w:spacing w:after="0"/>
              <w:rPr>
                <w:rFonts w:eastAsia="Times New Roman" w:cs="Arial"/>
                <w:b/>
                <w:bCs/>
                <w:sz w:val="20"/>
                <w:szCs w:val="20"/>
                <w:lang w:eastAsia="en-GB"/>
              </w:rPr>
            </w:pPr>
            <w:r w:rsidRPr="00690F07">
              <w:rPr>
                <w:rFonts w:eastAsia="Times New Roman" w:cs="Arial"/>
                <w:b/>
                <w:bCs/>
                <w:sz w:val="20"/>
                <w:szCs w:val="20"/>
                <w:lang w:eastAsia="en-GB"/>
              </w:rPr>
              <w:t>Totals</w:t>
            </w:r>
          </w:p>
        </w:tc>
        <w:tc>
          <w:tcPr>
            <w:tcW w:w="1888" w:type="dxa"/>
            <w:tcBorders>
              <w:top w:val="nil"/>
              <w:left w:val="single" w:sz="4" w:space="0" w:color="auto"/>
              <w:bottom w:val="single" w:sz="4" w:space="0" w:color="auto"/>
              <w:right w:val="single" w:sz="4" w:space="0" w:color="auto"/>
            </w:tcBorders>
            <w:shd w:val="clear" w:color="auto" w:fill="auto"/>
            <w:noWrap/>
            <w:vAlign w:val="bottom"/>
            <w:hideMark/>
          </w:tcPr>
          <w:p w14:paraId="15B018BF" w14:textId="77777777" w:rsidR="005D5808" w:rsidRPr="00690F07" w:rsidRDefault="00162F2E" w:rsidP="0063762C">
            <w:pPr>
              <w:spacing w:after="0"/>
              <w:jc w:val="right"/>
              <w:rPr>
                <w:rFonts w:eastAsia="Times New Roman" w:cs="Arial"/>
                <w:b/>
                <w:bCs/>
                <w:sz w:val="20"/>
                <w:szCs w:val="20"/>
                <w:lang w:eastAsia="en-GB"/>
              </w:rPr>
            </w:pPr>
            <w:r w:rsidRPr="00690F07">
              <w:rPr>
                <w:rFonts w:eastAsia="Times New Roman" w:cs="Arial"/>
                <w:b/>
                <w:bCs/>
                <w:sz w:val="20"/>
                <w:szCs w:val="20"/>
                <w:lang w:eastAsia="en-GB"/>
              </w:rPr>
              <w:t xml:space="preserve">170.563 </w:t>
            </w:r>
          </w:p>
        </w:tc>
        <w:tc>
          <w:tcPr>
            <w:tcW w:w="1887" w:type="dxa"/>
            <w:tcBorders>
              <w:top w:val="nil"/>
              <w:left w:val="nil"/>
              <w:bottom w:val="single" w:sz="4" w:space="0" w:color="auto"/>
              <w:right w:val="single" w:sz="4" w:space="0" w:color="auto"/>
            </w:tcBorders>
            <w:shd w:val="clear" w:color="auto" w:fill="auto"/>
            <w:noWrap/>
            <w:vAlign w:val="bottom"/>
            <w:hideMark/>
          </w:tcPr>
          <w:p w14:paraId="1FB20219" w14:textId="77777777" w:rsidR="005D5808" w:rsidRPr="00690F07" w:rsidRDefault="00162F2E" w:rsidP="0063762C">
            <w:pPr>
              <w:spacing w:after="0"/>
              <w:jc w:val="right"/>
              <w:rPr>
                <w:rFonts w:eastAsia="Times New Roman" w:cs="Arial"/>
                <w:b/>
                <w:bCs/>
                <w:sz w:val="20"/>
                <w:szCs w:val="20"/>
                <w:lang w:eastAsia="en-GB"/>
              </w:rPr>
            </w:pPr>
            <w:r w:rsidRPr="00690F07">
              <w:rPr>
                <w:rFonts w:eastAsia="Times New Roman" w:cs="Arial"/>
                <w:b/>
                <w:bCs/>
                <w:sz w:val="20"/>
                <w:szCs w:val="20"/>
                <w:lang w:eastAsia="en-GB"/>
              </w:rPr>
              <w:t xml:space="preserve">164.124 </w:t>
            </w:r>
          </w:p>
        </w:tc>
        <w:tc>
          <w:tcPr>
            <w:tcW w:w="1927" w:type="dxa"/>
            <w:tcBorders>
              <w:top w:val="nil"/>
              <w:left w:val="nil"/>
              <w:bottom w:val="single" w:sz="4" w:space="0" w:color="auto"/>
              <w:right w:val="single" w:sz="4" w:space="0" w:color="auto"/>
            </w:tcBorders>
            <w:shd w:val="clear" w:color="000000" w:fill="D9D9D9"/>
            <w:noWrap/>
            <w:vAlign w:val="bottom"/>
            <w:hideMark/>
          </w:tcPr>
          <w:p w14:paraId="0B074117" w14:textId="77777777" w:rsidR="005D5808" w:rsidRPr="00690F07" w:rsidRDefault="00162F2E" w:rsidP="0063762C">
            <w:pPr>
              <w:spacing w:after="0"/>
              <w:jc w:val="right"/>
              <w:rPr>
                <w:rFonts w:eastAsia="Times New Roman" w:cs="Arial"/>
                <w:b/>
                <w:bCs/>
                <w:sz w:val="20"/>
                <w:szCs w:val="20"/>
                <w:lang w:eastAsia="en-GB"/>
              </w:rPr>
            </w:pPr>
            <w:r w:rsidRPr="00690F07">
              <w:rPr>
                <w:rFonts w:eastAsia="Times New Roman" w:cs="Arial"/>
                <w:b/>
                <w:bCs/>
                <w:sz w:val="20"/>
                <w:szCs w:val="20"/>
                <w:lang w:eastAsia="en-GB"/>
              </w:rPr>
              <w:t xml:space="preserve">-6.439 </w:t>
            </w:r>
          </w:p>
        </w:tc>
        <w:tc>
          <w:tcPr>
            <w:tcW w:w="194" w:type="dxa"/>
            <w:vAlign w:val="center"/>
            <w:hideMark/>
          </w:tcPr>
          <w:p w14:paraId="3058D830" w14:textId="77777777" w:rsidR="005D5808" w:rsidRPr="00690F07" w:rsidRDefault="005D5808" w:rsidP="0063762C">
            <w:pPr>
              <w:spacing w:after="0"/>
              <w:rPr>
                <w:rFonts w:ascii="Times New Roman" w:eastAsia="Times New Roman" w:hAnsi="Times New Roman" w:cs="Times New Roman"/>
                <w:sz w:val="20"/>
                <w:szCs w:val="20"/>
                <w:lang w:eastAsia="en-GB"/>
              </w:rPr>
            </w:pPr>
          </w:p>
        </w:tc>
      </w:tr>
    </w:tbl>
    <w:p w14:paraId="1DABA9F4" w14:textId="77777777" w:rsidR="005D5808" w:rsidRDefault="005D5808" w:rsidP="005D5808"/>
    <w:p w14:paraId="5DA3BB8C" w14:textId="77777777" w:rsidR="005D5808" w:rsidRDefault="00162F2E" w:rsidP="005D5808">
      <w:pPr>
        <w:spacing w:after="0"/>
        <w:rPr>
          <w:rFonts w:cstheme="minorHAnsi"/>
          <w:color w:val="000000" w:themeColor="text1"/>
        </w:rPr>
      </w:pPr>
      <w:r w:rsidRPr="00456D41">
        <w:rPr>
          <w:rFonts w:cstheme="minorHAnsi"/>
          <w:color w:val="000000" w:themeColor="text1"/>
        </w:rPr>
        <w:t>The outturn spend for 2021/22 is £164.124m and funded from a combination of borrowing (£58.173m), Grants (£93.059m) and Contributions (£12.892m).</w:t>
      </w:r>
    </w:p>
    <w:p w14:paraId="6D5ED5C1" w14:textId="77777777" w:rsidR="005D5808" w:rsidRDefault="00162F2E" w:rsidP="005D5808">
      <w:pPr>
        <w:spacing w:after="0"/>
        <w:rPr>
          <w:rFonts w:cstheme="minorHAnsi"/>
          <w:color w:val="000000" w:themeColor="text1"/>
        </w:rPr>
      </w:pPr>
      <w:r w:rsidRPr="00C1534B">
        <w:rPr>
          <w:rFonts w:cstheme="minorHAnsi"/>
          <w:color w:val="000000" w:themeColor="text1"/>
        </w:rPr>
        <w:t xml:space="preserve"> </w:t>
      </w:r>
    </w:p>
    <w:p w14:paraId="6A3B3C88" w14:textId="77777777" w:rsidR="005D5808" w:rsidRPr="002C1922" w:rsidRDefault="00162F2E" w:rsidP="005D5808">
      <w:pPr>
        <w:spacing w:after="0"/>
        <w:rPr>
          <w:rFonts w:cstheme="minorHAnsi"/>
          <w:color w:val="000000" w:themeColor="text1"/>
        </w:rPr>
      </w:pPr>
      <w:r w:rsidRPr="002C1922">
        <w:rPr>
          <w:rFonts w:cstheme="minorHAnsi"/>
          <w:color w:val="000000" w:themeColor="text1"/>
        </w:rPr>
        <w:t>A more detailed narrative on the key items making up the variances by blo</w:t>
      </w:r>
      <w:r>
        <w:rPr>
          <w:rFonts w:cstheme="minorHAnsi"/>
          <w:color w:val="000000" w:themeColor="text1"/>
        </w:rPr>
        <w:t xml:space="preserve">ck can be found in the </w:t>
      </w:r>
      <w:r w:rsidRPr="007B4ED7">
        <w:rPr>
          <w:rFonts w:cstheme="minorHAnsi"/>
          <w:color w:val="000000" w:themeColor="text1"/>
        </w:rPr>
        <w:t>section 5</w:t>
      </w:r>
      <w:r w:rsidRPr="002C1922">
        <w:rPr>
          <w:rFonts w:cstheme="minorHAnsi"/>
          <w:color w:val="000000" w:themeColor="text1"/>
        </w:rPr>
        <w:t xml:space="preserve"> of the report. </w:t>
      </w:r>
    </w:p>
    <w:p w14:paraId="7D8E0B23" w14:textId="77777777" w:rsidR="005D5808" w:rsidRDefault="005D5808" w:rsidP="005D5808">
      <w:pPr>
        <w:rPr>
          <w:rFonts w:cstheme="minorHAnsi"/>
          <w:b/>
        </w:rPr>
      </w:pPr>
    </w:p>
    <w:p w14:paraId="4D4E46D5" w14:textId="77777777" w:rsidR="005D5808" w:rsidRPr="007B4ED7" w:rsidRDefault="00162F2E" w:rsidP="005D5808">
      <w:pPr>
        <w:rPr>
          <w:rFonts w:cstheme="minorHAnsi"/>
          <w:b/>
        </w:rPr>
      </w:pPr>
      <w:r w:rsidRPr="00690F07">
        <w:rPr>
          <w:rFonts w:cstheme="minorHAnsi"/>
          <w:b/>
        </w:rPr>
        <w:t>Table 3 – Analysis of outturn variance</w:t>
      </w:r>
    </w:p>
    <w:tbl>
      <w:tblPr>
        <w:tblW w:w="9105" w:type="dxa"/>
        <w:tblLook w:val="04A0" w:firstRow="1" w:lastRow="0" w:firstColumn="1" w:lastColumn="0" w:noHBand="0" w:noVBand="1"/>
      </w:tblPr>
      <w:tblGrid>
        <w:gridCol w:w="2654"/>
        <w:gridCol w:w="1261"/>
        <w:gridCol w:w="1495"/>
        <w:gridCol w:w="1373"/>
        <w:gridCol w:w="1334"/>
        <w:gridCol w:w="1334"/>
      </w:tblGrid>
      <w:tr w:rsidR="006E5B54" w14:paraId="4969A8D7" w14:textId="77777777" w:rsidTr="0063762C">
        <w:trPr>
          <w:trHeight w:val="1251"/>
        </w:trPr>
        <w:tc>
          <w:tcPr>
            <w:tcW w:w="26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0042CD"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Service Area</w:t>
            </w:r>
          </w:p>
        </w:tc>
        <w:tc>
          <w:tcPr>
            <w:tcW w:w="1261" w:type="dxa"/>
            <w:tcBorders>
              <w:top w:val="single" w:sz="4" w:space="0" w:color="auto"/>
              <w:left w:val="nil"/>
              <w:bottom w:val="single" w:sz="4" w:space="0" w:color="auto"/>
              <w:right w:val="single" w:sz="4" w:space="0" w:color="auto"/>
            </w:tcBorders>
            <w:shd w:val="clear" w:color="000000" w:fill="D9D9D9"/>
            <w:vAlign w:val="center"/>
            <w:hideMark/>
          </w:tcPr>
          <w:p w14:paraId="580FA21D"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Variance</w:t>
            </w:r>
          </w:p>
        </w:tc>
        <w:tc>
          <w:tcPr>
            <w:tcW w:w="1261" w:type="dxa"/>
            <w:tcBorders>
              <w:top w:val="single" w:sz="4" w:space="0" w:color="auto"/>
              <w:left w:val="nil"/>
              <w:bottom w:val="single" w:sz="4" w:space="0" w:color="auto"/>
              <w:right w:val="single" w:sz="4" w:space="0" w:color="auto"/>
            </w:tcBorders>
            <w:shd w:val="clear" w:color="000000" w:fill="D9D9D9"/>
            <w:vAlign w:val="center"/>
            <w:hideMark/>
          </w:tcPr>
          <w:p w14:paraId="6ACB2519"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Underspends and potential underspends</w:t>
            </w:r>
          </w:p>
        </w:tc>
        <w:tc>
          <w:tcPr>
            <w:tcW w:w="1261" w:type="dxa"/>
            <w:tcBorders>
              <w:top w:val="single" w:sz="4" w:space="0" w:color="auto"/>
              <w:left w:val="nil"/>
              <w:bottom w:val="single" w:sz="4" w:space="0" w:color="auto"/>
              <w:right w:val="single" w:sz="4" w:space="0" w:color="auto"/>
            </w:tcBorders>
            <w:shd w:val="clear" w:color="000000" w:fill="D9D9D9"/>
            <w:vAlign w:val="center"/>
            <w:hideMark/>
          </w:tcPr>
          <w:p w14:paraId="0E5B25DF"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 xml:space="preserve">Overspends and potential overspends </w:t>
            </w:r>
          </w:p>
        </w:tc>
        <w:tc>
          <w:tcPr>
            <w:tcW w:w="1334" w:type="dxa"/>
            <w:tcBorders>
              <w:top w:val="single" w:sz="4" w:space="0" w:color="auto"/>
              <w:left w:val="nil"/>
              <w:bottom w:val="single" w:sz="4" w:space="0" w:color="auto"/>
              <w:right w:val="single" w:sz="4" w:space="0" w:color="auto"/>
            </w:tcBorders>
            <w:shd w:val="clear" w:color="000000" w:fill="D9D9D9"/>
            <w:vAlign w:val="center"/>
            <w:hideMark/>
          </w:tcPr>
          <w:p w14:paraId="59C8A42B"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Slipped Delivery</w:t>
            </w:r>
          </w:p>
        </w:tc>
        <w:tc>
          <w:tcPr>
            <w:tcW w:w="1334" w:type="dxa"/>
            <w:tcBorders>
              <w:top w:val="single" w:sz="4" w:space="0" w:color="auto"/>
              <w:left w:val="nil"/>
              <w:bottom w:val="single" w:sz="4" w:space="0" w:color="auto"/>
              <w:right w:val="single" w:sz="4" w:space="0" w:color="auto"/>
            </w:tcBorders>
            <w:shd w:val="clear" w:color="000000" w:fill="D9D9D9"/>
            <w:vAlign w:val="center"/>
            <w:hideMark/>
          </w:tcPr>
          <w:p w14:paraId="014EDC64"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Additional delivery</w:t>
            </w:r>
          </w:p>
        </w:tc>
      </w:tr>
      <w:tr w:rsidR="006E5B54" w14:paraId="25740C9D" w14:textId="77777777" w:rsidTr="0063762C">
        <w:trPr>
          <w:trHeight w:val="205"/>
        </w:trPr>
        <w:tc>
          <w:tcPr>
            <w:tcW w:w="2654" w:type="dxa"/>
            <w:vMerge/>
            <w:tcBorders>
              <w:top w:val="single" w:sz="4" w:space="0" w:color="auto"/>
              <w:left w:val="single" w:sz="4" w:space="0" w:color="auto"/>
              <w:bottom w:val="single" w:sz="4" w:space="0" w:color="auto"/>
              <w:right w:val="single" w:sz="4" w:space="0" w:color="auto"/>
            </w:tcBorders>
            <w:vAlign w:val="center"/>
            <w:hideMark/>
          </w:tcPr>
          <w:p w14:paraId="757F2901" w14:textId="77777777" w:rsidR="005D5808" w:rsidRPr="00F7421F" w:rsidRDefault="005D5808" w:rsidP="0063762C">
            <w:pPr>
              <w:spacing w:after="0"/>
              <w:rPr>
                <w:rFonts w:eastAsia="Times New Roman" w:cs="Arial"/>
                <w:b/>
                <w:bCs/>
                <w:sz w:val="20"/>
                <w:szCs w:val="20"/>
                <w:lang w:eastAsia="en-GB"/>
              </w:rPr>
            </w:pPr>
          </w:p>
        </w:tc>
        <w:tc>
          <w:tcPr>
            <w:tcW w:w="1261" w:type="dxa"/>
            <w:tcBorders>
              <w:top w:val="nil"/>
              <w:left w:val="nil"/>
              <w:bottom w:val="single" w:sz="4" w:space="0" w:color="auto"/>
              <w:right w:val="single" w:sz="4" w:space="0" w:color="auto"/>
            </w:tcBorders>
            <w:shd w:val="clear" w:color="000000" w:fill="D9D9D9"/>
            <w:noWrap/>
            <w:vAlign w:val="center"/>
            <w:hideMark/>
          </w:tcPr>
          <w:p w14:paraId="2A54FC0F"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£m</w:t>
            </w:r>
          </w:p>
        </w:tc>
        <w:tc>
          <w:tcPr>
            <w:tcW w:w="1261" w:type="dxa"/>
            <w:tcBorders>
              <w:top w:val="nil"/>
              <w:left w:val="nil"/>
              <w:bottom w:val="single" w:sz="4" w:space="0" w:color="auto"/>
              <w:right w:val="single" w:sz="4" w:space="0" w:color="auto"/>
            </w:tcBorders>
            <w:shd w:val="clear" w:color="000000" w:fill="D9D9D9"/>
            <w:noWrap/>
            <w:vAlign w:val="center"/>
            <w:hideMark/>
          </w:tcPr>
          <w:p w14:paraId="1956861F"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£m</w:t>
            </w:r>
          </w:p>
        </w:tc>
        <w:tc>
          <w:tcPr>
            <w:tcW w:w="1261" w:type="dxa"/>
            <w:tcBorders>
              <w:top w:val="nil"/>
              <w:left w:val="nil"/>
              <w:bottom w:val="single" w:sz="4" w:space="0" w:color="auto"/>
              <w:right w:val="single" w:sz="4" w:space="0" w:color="auto"/>
            </w:tcBorders>
            <w:shd w:val="clear" w:color="000000" w:fill="D9D9D9"/>
            <w:noWrap/>
            <w:vAlign w:val="center"/>
            <w:hideMark/>
          </w:tcPr>
          <w:p w14:paraId="27640F5B"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£m</w:t>
            </w:r>
          </w:p>
        </w:tc>
        <w:tc>
          <w:tcPr>
            <w:tcW w:w="1334" w:type="dxa"/>
            <w:tcBorders>
              <w:top w:val="nil"/>
              <w:left w:val="nil"/>
              <w:bottom w:val="single" w:sz="4" w:space="0" w:color="auto"/>
              <w:right w:val="single" w:sz="4" w:space="0" w:color="auto"/>
            </w:tcBorders>
            <w:shd w:val="clear" w:color="000000" w:fill="D9D9D9"/>
            <w:noWrap/>
            <w:vAlign w:val="center"/>
            <w:hideMark/>
          </w:tcPr>
          <w:p w14:paraId="44ADE376"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£m</w:t>
            </w:r>
          </w:p>
        </w:tc>
        <w:tc>
          <w:tcPr>
            <w:tcW w:w="1334" w:type="dxa"/>
            <w:tcBorders>
              <w:top w:val="nil"/>
              <w:left w:val="nil"/>
              <w:bottom w:val="single" w:sz="4" w:space="0" w:color="auto"/>
              <w:right w:val="single" w:sz="4" w:space="0" w:color="auto"/>
            </w:tcBorders>
            <w:shd w:val="clear" w:color="000000" w:fill="D9D9D9"/>
            <w:noWrap/>
            <w:vAlign w:val="center"/>
            <w:hideMark/>
          </w:tcPr>
          <w:p w14:paraId="5DFBF1B1" w14:textId="77777777" w:rsidR="005D5808" w:rsidRPr="00F7421F" w:rsidRDefault="00162F2E" w:rsidP="0063762C">
            <w:pPr>
              <w:spacing w:after="0"/>
              <w:jc w:val="center"/>
              <w:rPr>
                <w:rFonts w:eastAsia="Times New Roman" w:cs="Arial"/>
                <w:b/>
                <w:bCs/>
                <w:sz w:val="20"/>
                <w:szCs w:val="20"/>
                <w:lang w:eastAsia="en-GB"/>
              </w:rPr>
            </w:pPr>
            <w:r w:rsidRPr="00F7421F">
              <w:rPr>
                <w:rFonts w:eastAsia="Times New Roman" w:cs="Arial"/>
                <w:b/>
                <w:bCs/>
                <w:sz w:val="20"/>
                <w:szCs w:val="20"/>
                <w:lang w:eastAsia="en-GB"/>
              </w:rPr>
              <w:t>£m</w:t>
            </w:r>
          </w:p>
        </w:tc>
      </w:tr>
      <w:tr w:rsidR="006E5B54" w14:paraId="34F9486F"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7014996E"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Schools (exc DFC)</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614F0C37"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0.869 </w:t>
            </w:r>
          </w:p>
        </w:tc>
        <w:tc>
          <w:tcPr>
            <w:tcW w:w="1261" w:type="dxa"/>
            <w:tcBorders>
              <w:top w:val="nil"/>
              <w:left w:val="nil"/>
              <w:bottom w:val="single" w:sz="4" w:space="0" w:color="auto"/>
              <w:right w:val="single" w:sz="4" w:space="0" w:color="auto"/>
            </w:tcBorders>
            <w:shd w:val="clear" w:color="auto" w:fill="auto"/>
            <w:noWrap/>
            <w:vAlign w:val="bottom"/>
            <w:hideMark/>
          </w:tcPr>
          <w:p w14:paraId="3094928B"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-0.811 </w:t>
            </w:r>
          </w:p>
        </w:tc>
        <w:tc>
          <w:tcPr>
            <w:tcW w:w="1261" w:type="dxa"/>
            <w:tcBorders>
              <w:top w:val="nil"/>
              <w:left w:val="nil"/>
              <w:bottom w:val="single" w:sz="4" w:space="0" w:color="auto"/>
              <w:right w:val="single" w:sz="4" w:space="0" w:color="auto"/>
            </w:tcBorders>
            <w:shd w:val="clear" w:color="auto" w:fill="auto"/>
            <w:noWrap/>
            <w:vAlign w:val="bottom"/>
            <w:hideMark/>
          </w:tcPr>
          <w:p w14:paraId="4EC69BF0"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334" w:type="dxa"/>
            <w:tcBorders>
              <w:top w:val="nil"/>
              <w:left w:val="nil"/>
              <w:bottom w:val="single" w:sz="4" w:space="0" w:color="auto"/>
              <w:right w:val="single" w:sz="4" w:space="0" w:color="auto"/>
            </w:tcBorders>
            <w:shd w:val="clear" w:color="auto" w:fill="auto"/>
            <w:noWrap/>
            <w:vAlign w:val="bottom"/>
            <w:hideMark/>
          </w:tcPr>
          <w:p w14:paraId="34591DEE"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-4.067 </w:t>
            </w:r>
          </w:p>
        </w:tc>
        <w:tc>
          <w:tcPr>
            <w:tcW w:w="1334" w:type="dxa"/>
            <w:tcBorders>
              <w:top w:val="nil"/>
              <w:left w:val="nil"/>
              <w:bottom w:val="single" w:sz="4" w:space="0" w:color="auto"/>
              <w:right w:val="single" w:sz="4" w:space="0" w:color="auto"/>
            </w:tcBorders>
            <w:shd w:val="clear" w:color="auto" w:fill="auto"/>
            <w:noWrap/>
            <w:vAlign w:val="bottom"/>
            <w:hideMark/>
          </w:tcPr>
          <w:p w14:paraId="59DE01D6"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5.747 </w:t>
            </w:r>
          </w:p>
        </w:tc>
      </w:tr>
      <w:tr w:rsidR="006E5B54" w14:paraId="3129C2C9"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5A5C8E0F"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Schools DFC</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2BC2B715"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0.274 </w:t>
            </w:r>
          </w:p>
        </w:tc>
        <w:tc>
          <w:tcPr>
            <w:tcW w:w="1261" w:type="dxa"/>
            <w:tcBorders>
              <w:top w:val="nil"/>
              <w:left w:val="nil"/>
              <w:bottom w:val="single" w:sz="4" w:space="0" w:color="auto"/>
              <w:right w:val="single" w:sz="4" w:space="0" w:color="auto"/>
            </w:tcBorders>
            <w:shd w:val="clear" w:color="auto" w:fill="auto"/>
            <w:noWrap/>
            <w:vAlign w:val="bottom"/>
            <w:hideMark/>
          </w:tcPr>
          <w:p w14:paraId="67F66E1A"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14:paraId="73EAD49A"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334" w:type="dxa"/>
            <w:tcBorders>
              <w:top w:val="nil"/>
              <w:left w:val="nil"/>
              <w:bottom w:val="single" w:sz="4" w:space="0" w:color="auto"/>
              <w:right w:val="single" w:sz="4" w:space="0" w:color="auto"/>
            </w:tcBorders>
            <w:shd w:val="clear" w:color="auto" w:fill="auto"/>
            <w:noWrap/>
            <w:vAlign w:val="bottom"/>
            <w:hideMark/>
          </w:tcPr>
          <w:p w14:paraId="12EB0D23"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334" w:type="dxa"/>
            <w:tcBorders>
              <w:top w:val="nil"/>
              <w:left w:val="nil"/>
              <w:bottom w:val="single" w:sz="4" w:space="0" w:color="auto"/>
              <w:right w:val="single" w:sz="4" w:space="0" w:color="auto"/>
            </w:tcBorders>
            <w:shd w:val="clear" w:color="auto" w:fill="auto"/>
            <w:noWrap/>
            <w:vAlign w:val="bottom"/>
            <w:hideMark/>
          </w:tcPr>
          <w:p w14:paraId="5E63AE7C"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0.274 </w:t>
            </w:r>
          </w:p>
        </w:tc>
      </w:tr>
      <w:tr w:rsidR="006E5B54" w14:paraId="36D3D088"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2A22568A"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Highways</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025EA47C"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5.861 </w:t>
            </w:r>
          </w:p>
        </w:tc>
        <w:tc>
          <w:tcPr>
            <w:tcW w:w="1261" w:type="dxa"/>
            <w:tcBorders>
              <w:top w:val="nil"/>
              <w:left w:val="nil"/>
              <w:bottom w:val="single" w:sz="4" w:space="0" w:color="auto"/>
              <w:right w:val="single" w:sz="4" w:space="0" w:color="auto"/>
            </w:tcBorders>
            <w:shd w:val="clear" w:color="auto" w:fill="auto"/>
            <w:noWrap/>
            <w:vAlign w:val="bottom"/>
            <w:hideMark/>
          </w:tcPr>
          <w:p w14:paraId="03D8CCF1"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-0.004 </w:t>
            </w:r>
          </w:p>
        </w:tc>
        <w:tc>
          <w:tcPr>
            <w:tcW w:w="1261" w:type="dxa"/>
            <w:tcBorders>
              <w:top w:val="nil"/>
              <w:left w:val="nil"/>
              <w:bottom w:val="single" w:sz="4" w:space="0" w:color="auto"/>
              <w:right w:val="single" w:sz="4" w:space="0" w:color="auto"/>
            </w:tcBorders>
            <w:shd w:val="clear" w:color="auto" w:fill="auto"/>
            <w:noWrap/>
            <w:vAlign w:val="bottom"/>
            <w:hideMark/>
          </w:tcPr>
          <w:p w14:paraId="2F3AED41"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7.236 </w:t>
            </w:r>
          </w:p>
        </w:tc>
        <w:tc>
          <w:tcPr>
            <w:tcW w:w="1334" w:type="dxa"/>
            <w:tcBorders>
              <w:top w:val="nil"/>
              <w:left w:val="nil"/>
              <w:bottom w:val="single" w:sz="4" w:space="0" w:color="auto"/>
              <w:right w:val="single" w:sz="4" w:space="0" w:color="auto"/>
            </w:tcBorders>
            <w:shd w:val="clear" w:color="auto" w:fill="auto"/>
            <w:noWrap/>
            <w:vAlign w:val="bottom"/>
            <w:hideMark/>
          </w:tcPr>
          <w:p w14:paraId="02ACADD3"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-9.475 </w:t>
            </w:r>
          </w:p>
        </w:tc>
        <w:tc>
          <w:tcPr>
            <w:tcW w:w="1334" w:type="dxa"/>
            <w:tcBorders>
              <w:top w:val="nil"/>
              <w:left w:val="nil"/>
              <w:bottom w:val="single" w:sz="4" w:space="0" w:color="auto"/>
              <w:right w:val="single" w:sz="4" w:space="0" w:color="auto"/>
            </w:tcBorders>
            <w:shd w:val="clear" w:color="auto" w:fill="auto"/>
            <w:noWrap/>
            <w:vAlign w:val="bottom"/>
            <w:hideMark/>
          </w:tcPr>
          <w:p w14:paraId="35952C5E"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8.104 </w:t>
            </w:r>
          </w:p>
        </w:tc>
      </w:tr>
      <w:tr w:rsidR="006E5B54" w14:paraId="72F9C2C1"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76F3B0F1"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Transport</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7DD80EF3"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-1.102 </w:t>
            </w:r>
          </w:p>
        </w:tc>
        <w:tc>
          <w:tcPr>
            <w:tcW w:w="1261" w:type="dxa"/>
            <w:tcBorders>
              <w:top w:val="nil"/>
              <w:left w:val="nil"/>
              <w:bottom w:val="single" w:sz="4" w:space="0" w:color="auto"/>
              <w:right w:val="single" w:sz="4" w:space="0" w:color="auto"/>
            </w:tcBorders>
            <w:shd w:val="clear" w:color="auto" w:fill="auto"/>
            <w:noWrap/>
            <w:vAlign w:val="bottom"/>
            <w:hideMark/>
          </w:tcPr>
          <w:p w14:paraId="64C274CA"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-0.951 </w:t>
            </w:r>
          </w:p>
        </w:tc>
        <w:tc>
          <w:tcPr>
            <w:tcW w:w="1261" w:type="dxa"/>
            <w:tcBorders>
              <w:top w:val="nil"/>
              <w:left w:val="nil"/>
              <w:bottom w:val="single" w:sz="4" w:space="0" w:color="auto"/>
              <w:right w:val="single" w:sz="4" w:space="0" w:color="auto"/>
            </w:tcBorders>
            <w:shd w:val="clear" w:color="auto" w:fill="auto"/>
            <w:noWrap/>
            <w:vAlign w:val="bottom"/>
            <w:hideMark/>
          </w:tcPr>
          <w:p w14:paraId="1307549C"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0.943 </w:t>
            </w:r>
          </w:p>
        </w:tc>
        <w:tc>
          <w:tcPr>
            <w:tcW w:w="1334" w:type="dxa"/>
            <w:tcBorders>
              <w:top w:val="nil"/>
              <w:left w:val="nil"/>
              <w:bottom w:val="single" w:sz="4" w:space="0" w:color="auto"/>
              <w:right w:val="single" w:sz="4" w:space="0" w:color="auto"/>
            </w:tcBorders>
            <w:shd w:val="clear" w:color="auto" w:fill="auto"/>
            <w:noWrap/>
            <w:vAlign w:val="bottom"/>
            <w:hideMark/>
          </w:tcPr>
          <w:p w14:paraId="1B459561"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-4.366 </w:t>
            </w:r>
          </w:p>
        </w:tc>
        <w:tc>
          <w:tcPr>
            <w:tcW w:w="1334" w:type="dxa"/>
            <w:tcBorders>
              <w:top w:val="nil"/>
              <w:left w:val="nil"/>
              <w:bottom w:val="single" w:sz="4" w:space="0" w:color="auto"/>
              <w:right w:val="single" w:sz="4" w:space="0" w:color="auto"/>
            </w:tcBorders>
            <w:shd w:val="clear" w:color="auto" w:fill="auto"/>
            <w:noWrap/>
            <w:vAlign w:val="bottom"/>
            <w:hideMark/>
          </w:tcPr>
          <w:p w14:paraId="57806043"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3.272 </w:t>
            </w:r>
          </w:p>
        </w:tc>
      </w:tr>
      <w:tr w:rsidR="006E5B54" w14:paraId="0DD4BBEB"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72B14CD6"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Externally Funded</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16DDAF25"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-0.720 </w:t>
            </w:r>
          </w:p>
        </w:tc>
        <w:tc>
          <w:tcPr>
            <w:tcW w:w="1261" w:type="dxa"/>
            <w:tcBorders>
              <w:top w:val="nil"/>
              <w:left w:val="nil"/>
              <w:bottom w:val="single" w:sz="4" w:space="0" w:color="auto"/>
              <w:right w:val="single" w:sz="4" w:space="0" w:color="auto"/>
            </w:tcBorders>
            <w:shd w:val="clear" w:color="auto" w:fill="auto"/>
            <w:noWrap/>
            <w:vAlign w:val="bottom"/>
            <w:hideMark/>
          </w:tcPr>
          <w:p w14:paraId="5194EC97"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-0.043 </w:t>
            </w:r>
          </w:p>
        </w:tc>
        <w:tc>
          <w:tcPr>
            <w:tcW w:w="1261" w:type="dxa"/>
            <w:tcBorders>
              <w:top w:val="nil"/>
              <w:left w:val="nil"/>
              <w:bottom w:val="single" w:sz="4" w:space="0" w:color="auto"/>
              <w:right w:val="single" w:sz="4" w:space="0" w:color="auto"/>
            </w:tcBorders>
            <w:shd w:val="clear" w:color="auto" w:fill="auto"/>
            <w:noWrap/>
            <w:vAlign w:val="bottom"/>
            <w:hideMark/>
          </w:tcPr>
          <w:p w14:paraId="59454800"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0.008 </w:t>
            </w:r>
          </w:p>
        </w:tc>
        <w:tc>
          <w:tcPr>
            <w:tcW w:w="1334" w:type="dxa"/>
            <w:tcBorders>
              <w:top w:val="nil"/>
              <w:left w:val="nil"/>
              <w:bottom w:val="single" w:sz="4" w:space="0" w:color="auto"/>
              <w:right w:val="single" w:sz="4" w:space="0" w:color="auto"/>
            </w:tcBorders>
            <w:shd w:val="clear" w:color="auto" w:fill="auto"/>
            <w:noWrap/>
            <w:vAlign w:val="bottom"/>
            <w:hideMark/>
          </w:tcPr>
          <w:p w14:paraId="51E81E76"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-0.746 </w:t>
            </w:r>
          </w:p>
        </w:tc>
        <w:tc>
          <w:tcPr>
            <w:tcW w:w="1334" w:type="dxa"/>
            <w:tcBorders>
              <w:top w:val="nil"/>
              <w:left w:val="nil"/>
              <w:bottom w:val="single" w:sz="4" w:space="0" w:color="auto"/>
              <w:right w:val="single" w:sz="4" w:space="0" w:color="auto"/>
            </w:tcBorders>
            <w:shd w:val="clear" w:color="auto" w:fill="auto"/>
            <w:noWrap/>
            <w:vAlign w:val="bottom"/>
            <w:hideMark/>
          </w:tcPr>
          <w:p w14:paraId="50E57560"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0.061 </w:t>
            </w:r>
          </w:p>
        </w:tc>
      </w:tr>
      <w:tr w:rsidR="006E5B54" w14:paraId="323D6A28"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3539EA42"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Central Systems &amp; ICT</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09DCAF2F"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-4.704 </w:t>
            </w:r>
          </w:p>
        </w:tc>
        <w:tc>
          <w:tcPr>
            <w:tcW w:w="1261" w:type="dxa"/>
            <w:tcBorders>
              <w:top w:val="nil"/>
              <w:left w:val="nil"/>
              <w:bottom w:val="single" w:sz="4" w:space="0" w:color="auto"/>
              <w:right w:val="single" w:sz="4" w:space="0" w:color="auto"/>
            </w:tcBorders>
            <w:shd w:val="clear" w:color="auto" w:fill="auto"/>
            <w:noWrap/>
            <w:vAlign w:val="bottom"/>
            <w:hideMark/>
          </w:tcPr>
          <w:p w14:paraId="7239634E"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14:paraId="1EA3A13F"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334" w:type="dxa"/>
            <w:tcBorders>
              <w:top w:val="nil"/>
              <w:left w:val="nil"/>
              <w:bottom w:val="single" w:sz="4" w:space="0" w:color="auto"/>
              <w:right w:val="single" w:sz="4" w:space="0" w:color="auto"/>
            </w:tcBorders>
            <w:shd w:val="clear" w:color="auto" w:fill="auto"/>
            <w:noWrap/>
            <w:vAlign w:val="bottom"/>
            <w:hideMark/>
          </w:tcPr>
          <w:p w14:paraId="066DB5BF"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-4.888 </w:t>
            </w:r>
          </w:p>
        </w:tc>
        <w:tc>
          <w:tcPr>
            <w:tcW w:w="1334" w:type="dxa"/>
            <w:tcBorders>
              <w:top w:val="nil"/>
              <w:left w:val="nil"/>
              <w:bottom w:val="single" w:sz="4" w:space="0" w:color="auto"/>
              <w:right w:val="single" w:sz="4" w:space="0" w:color="auto"/>
            </w:tcBorders>
            <w:shd w:val="clear" w:color="auto" w:fill="auto"/>
            <w:noWrap/>
            <w:vAlign w:val="bottom"/>
            <w:hideMark/>
          </w:tcPr>
          <w:p w14:paraId="39E21B48"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0.184 </w:t>
            </w:r>
          </w:p>
        </w:tc>
      </w:tr>
      <w:tr w:rsidR="006E5B54" w14:paraId="335E6FC5"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791E4191"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Adults Social Care</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18C64AFE"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-0.540 </w:t>
            </w:r>
          </w:p>
        </w:tc>
        <w:tc>
          <w:tcPr>
            <w:tcW w:w="1261" w:type="dxa"/>
            <w:tcBorders>
              <w:top w:val="nil"/>
              <w:left w:val="nil"/>
              <w:bottom w:val="single" w:sz="4" w:space="0" w:color="auto"/>
              <w:right w:val="single" w:sz="4" w:space="0" w:color="auto"/>
            </w:tcBorders>
            <w:shd w:val="clear" w:color="auto" w:fill="auto"/>
            <w:noWrap/>
            <w:vAlign w:val="bottom"/>
            <w:hideMark/>
          </w:tcPr>
          <w:p w14:paraId="0A37BABC"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14:paraId="17036437"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334" w:type="dxa"/>
            <w:tcBorders>
              <w:top w:val="nil"/>
              <w:left w:val="nil"/>
              <w:bottom w:val="single" w:sz="4" w:space="0" w:color="auto"/>
              <w:right w:val="single" w:sz="4" w:space="0" w:color="auto"/>
            </w:tcBorders>
            <w:shd w:val="clear" w:color="auto" w:fill="auto"/>
            <w:noWrap/>
            <w:vAlign w:val="bottom"/>
            <w:hideMark/>
          </w:tcPr>
          <w:p w14:paraId="78284202"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-0.540 </w:t>
            </w:r>
          </w:p>
        </w:tc>
        <w:tc>
          <w:tcPr>
            <w:tcW w:w="1334" w:type="dxa"/>
            <w:tcBorders>
              <w:top w:val="nil"/>
              <w:left w:val="nil"/>
              <w:bottom w:val="single" w:sz="4" w:space="0" w:color="auto"/>
              <w:right w:val="single" w:sz="4" w:space="0" w:color="auto"/>
            </w:tcBorders>
            <w:shd w:val="clear" w:color="auto" w:fill="auto"/>
            <w:noWrap/>
            <w:vAlign w:val="bottom"/>
            <w:hideMark/>
          </w:tcPr>
          <w:p w14:paraId="3B793120"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r>
      <w:tr w:rsidR="006E5B54" w14:paraId="724DF8EF"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48F2958F"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Corporate - Property</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1D60633F"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-3.587 </w:t>
            </w:r>
          </w:p>
        </w:tc>
        <w:tc>
          <w:tcPr>
            <w:tcW w:w="1261" w:type="dxa"/>
            <w:tcBorders>
              <w:top w:val="nil"/>
              <w:left w:val="nil"/>
              <w:bottom w:val="single" w:sz="4" w:space="0" w:color="auto"/>
              <w:right w:val="single" w:sz="4" w:space="0" w:color="auto"/>
            </w:tcBorders>
            <w:shd w:val="clear" w:color="auto" w:fill="auto"/>
            <w:noWrap/>
            <w:vAlign w:val="bottom"/>
            <w:hideMark/>
          </w:tcPr>
          <w:p w14:paraId="15CC28A1"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-0.415 </w:t>
            </w:r>
          </w:p>
        </w:tc>
        <w:tc>
          <w:tcPr>
            <w:tcW w:w="1261" w:type="dxa"/>
            <w:tcBorders>
              <w:top w:val="nil"/>
              <w:left w:val="nil"/>
              <w:bottom w:val="single" w:sz="4" w:space="0" w:color="auto"/>
              <w:right w:val="single" w:sz="4" w:space="0" w:color="auto"/>
            </w:tcBorders>
            <w:shd w:val="clear" w:color="auto" w:fill="auto"/>
            <w:noWrap/>
            <w:vAlign w:val="bottom"/>
            <w:hideMark/>
          </w:tcPr>
          <w:p w14:paraId="543F5991"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0.002 </w:t>
            </w:r>
          </w:p>
        </w:tc>
        <w:tc>
          <w:tcPr>
            <w:tcW w:w="1334" w:type="dxa"/>
            <w:tcBorders>
              <w:top w:val="nil"/>
              <w:left w:val="nil"/>
              <w:bottom w:val="single" w:sz="4" w:space="0" w:color="auto"/>
              <w:right w:val="single" w:sz="4" w:space="0" w:color="auto"/>
            </w:tcBorders>
            <w:shd w:val="clear" w:color="auto" w:fill="auto"/>
            <w:noWrap/>
            <w:vAlign w:val="bottom"/>
            <w:hideMark/>
          </w:tcPr>
          <w:p w14:paraId="1D5BE88B"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-3.995 </w:t>
            </w:r>
          </w:p>
        </w:tc>
        <w:tc>
          <w:tcPr>
            <w:tcW w:w="1334" w:type="dxa"/>
            <w:tcBorders>
              <w:top w:val="nil"/>
              <w:left w:val="nil"/>
              <w:bottom w:val="single" w:sz="4" w:space="0" w:color="auto"/>
              <w:right w:val="single" w:sz="4" w:space="0" w:color="auto"/>
            </w:tcBorders>
            <w:shd w:val="clear" w:color="auto" w:fill="auto"/>
            <w:noWrap/>
            <w:vAlign w:val="bottom"/>
            <w:hideMark/>
          </w:tcPr>
          <w:p w14:paraId="69F4E04E"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0.821 </w:t>
            </w:r>
          </w:p>
        </w:tc>
      </w:tr>
      <w:tr w:rsidR="006E5B54" w14:paraId="1C8E9ADC"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3453D88B"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Economic Development</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0FA71FBF"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1.911 </w:t>
            </w:r>
          </w:p>
        </w:tc>
        <w:tc>
          <w:tcPr>
            <w:tcW w:w="1261" w:type="dxa"/>
            <w:tcBorders>
              <w:top w:val="nil"/>
              <w:left w:val="nil"/>
              <w:bottom w:val="single" w:sz="4" w:space="0" w:color="auto"/>
              <w:right w:val="single" w:sz="4" w:space="0" w:color="auto"/>
            </w:tcBorders>
            <w:shd w:val="clear" w:color="auto" w:fill="auto"/>
            <w:noWrap/>
            <w:vAlign w:val="bottom"/>
            <w:hideMark/>
          </w:tcPr>
          <w:p w14:paraId="19798E4C"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-0.010 </w:t>
            </w:r>
          </w:p>
        </w:tc>
        <w:tc>
          <w:tcPr>
            <w:tcW w:w="1261" w:type="dxa"/>
            <w:tcBorders>
              <w:top w:val="nil"/>
              <w:left w:val="nil"/>
              <w:bottom w:val="single" w:sz="4" w:space="0" w:color="auto"/>
              <w:right w:val="single" w:sz="4" w:space="0" w:color="auto"/>
            </w:tcBorders>
            <w:shd w:val="clear" w:color="auto" w:fill="auto"/>
            <w:noWrap/>
            <w:vAlign w:val="bottom"/>
            <w:hideMark/>
          </w:tcPr>
          <w:p w14:paraId="6754BE04"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334" w:type="dxa"/>
            <w:tcBorders>
              <w:top w:val="nil"/>
              <w:left w:val="nil"/>
              <w:bottom w:val="single" w:sz="4" w:space="0" w:color="auto"/>
              <w:right w:val="single" w:sz="4" w:space="0" w:color="auto"/>
            </w:tcBorders>
            <w:shd w:val="clear" w:color="auto" w:fill="auto"/>
            <w:noWrap/>
            <w:vAlign w:val="bottom"/>
            <w:hideMark/>
          </w:tcPr>
          <w:p w14:paraId="390A9970"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-9.277 </w:t>
            </w:r>
          </w:p>
        </w:tc>
        <w:tc>
          <w:tcPr>
            <w:tcW w:w="1334" w:type="dxa"/>
            <w:tcBorders>
              <w:top w:val="nil"/>
              <w:left w:val="nil"/>
              <w:bottom w:val="single" w:sz="4" w:space="0" w:color="auto"/>
              <w:right w:val="single" w:sz="4" w:space="0" w:color="auto"/>
            </w:tcBorders>
            <w:shd w:val="clear" w:color="auto" w:fill="auto"/>
            <w:noWrap/>
            <w:vAlign w:val="bottom"/>
            <w:hideMark/>
          </w:tcPr>
          <w:p w14:paraId="66AD2C6F"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11.198 </w:t>
            </w:r>
          </w:p>
        </w:tc>
      </w:tr>
      <w:tr w:rsidR="006E5B54" w14:paraId="390EBE40"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25D7990E"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lastRenderedPageBreak/>
              <w:t>South Lancaster Growth Catalyst</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5B176B3A"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-2.424 </w:t>
            </w:r>
          </w:p>
        </w:tc>
        <w:tc>
          <w:tcPr>
            <w:tcW w:w="1261" w:type="dxa"/>
            <w:tcBorders>
              <w:top w:val="nil"/>
              <w:left w:val="nil"/>
              <w:bottom w:val="single" w:sz="4" w:space="0" w:color="auto"/>
              <w:right w:val="single" w:sz="4" w:space="0" w:color="auto"/>
            </w:tcBorders>
            <w:shd w:val="clear" w:color="auto" w:fill="auto"/>
            <w:noWrap/>
            <w:vAlign w:val="bottom"/>
            <w:hideMark/>
          </w:tcPr>
          <w:p w14:paraId="2C79724E"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14:paraId="4A22D2D5"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334" w:type="dxa"/>
            <w:tcBorders>
              <w:top w:val="nil"/>
              <w:left w:val="nil"/>
              <w:bottom w:val="single" w:sz="4" w:space="0" w:color="auto"/>
              <w:right w:val="single" w:sz="4" w:space="0" w:color="auto"/>
            </w:tcBorders>
            <w:shd w:val="clear" w:color="auto" w:fill="auto"/>
            <w:noWrap/>
            <w:vAlign w:val="bottom"/>
            <w:hideMark/>
          </w:tcPr>
          <w:p w14:paraId="34FF0D92"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-2.424 </w:t>
            </w:r>
          </w:p>
        </w:tc>
        <w:tc>
          <w:tcPr>
            <w:tcW w:w="1334" w:type="dxa"/>
            <w:tcBorders>
              <w:top w:val="nil"/>
              <w:left w:val="nil"/>
              <w:bottom w:val="single" w:sz="4" w:space="0" w:color="auto"/>
              <w:right w:val="single" w:sz="4" w:space="0" w:color="auto"/>
            </w:tcBorders>
            <w:shd w:val="clear" w:color="auto" w:fill="auto"/>
            <w:noWrap/>
            <w:vAlign w:val="bottom"/>
            <w:hideMark/>
          </w:tcPr>
          <w:p w14:paraId="37B86BDD"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r>
      <w:tr w:rsidR="006E5B54" w14:paraId="7436708F"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05A5633D"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Vehicles</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34DCC14D"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0.710 </w:t>
            </w:r>
          </w:p>
        </w:tc>
        <w:tc>
          <w:tcPr>
            <w:tcW w:w="1261" w:type="dxa"/>
            <w:tcBorders>
              <w:top w:val="nil"/>
              <w:left w:val="nil"/>
              <w:bottom w:val="single" w:sz="4" w:space="0" w:color="auto"/>
              <w:right w:val="single" w:sz="4" w:space="0" w:color="auto"/>
            </w:tcBorders>
            <w:shd w:val="clear" w:color="auto" w:fill="auto"/>
            <w:noWrap/>
            <w:vAlign w:val="bottom"/>
            <w:hideMark/>
          </w:tcPr>
          <w:p w14:paraId="13F06BE9" w14:textId="77777777" w:rsidR="005D5808" w:rsidRPr="00F7421F" w:rsidRDefault="00162F2E" w:rsidP="0063762C">
            <w:pPr>
              <w:spacing w:after="0"/>
              <w:jc w:val="right"/>
              <w:rPr>
                <w:rFonts w:ascii="Calibri" w:eastAsia="Times New Roman" w:hAnsi="Calibri" w:cs="Calibri"/>
                <w:color w:val="006100"/>
                <w:lang w:eastAsia="en-GB"/>
              </w:rPr>
            </w:pPr>
            <w:r w:rsidRPr="00F7421F">
              <w:rPr>
                <w:rFonts w:ascii="Calibri" w:eastAsia="Times New Roman" w:hAnsi="Calibri" w:cs="Calibri"/>
                <w:color w:val="006100"/>
                <w:lang w:eastAsia="en-GB"/>
              </w:rPr>
              <w:t xml:space="preserve">-0.008 </w:t>
            </w:r>
          </w:p>
        </w:tc>
        <w:tc>
          <w:tcPr>
            <w:tcW w:w="1261" w:type="dxa"/>
            <w:tcBorders>
              <w:top w:val="nil"/>
              <w:left w:val="nil"/>
              <w:bottom w:val="single" w:sz="4" w:space="0" w:color="auto"/>
              <w:right w:val="single" w:sz="4" w:space="0" w:color="auto"/>
            </w:tcBorders>
            <w:shd w:val="clear" w:color="auto" w:fill="auto"/>
            <w:noWrap/>
            <w:vAlign w:val="bottom"/>
            <w:hideMark/>
          </w:tcPr>
          <w:p w14:paraId="09688152"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334" w:type="dxa"/>
            <w:tcBorders>
              <w:top w:val="nil"/>
              <w:left w:val="nil"/>
              <w:bottom w:val="single" w:sz="4" w:space="0" w:color="auto"/>
              <w:right w:val="single" w:sz="4" w:space="0" w:color="auto"/>
            </w:tcBorders>
            <w:shd w:val="clear" w:color="auto" w:fill="auto"/>
            <w:noWrap/>
            <w:vAlign w:val="bottom"/>
            <w:hideMark/>
          </w:tcPr>
          <w:p w14:paraId="0935D8B2" w14:textId="77777777" w:rsidR="005D5808" w:rsidRPr="00F7421F" w:rsidRDefault="00162F2E" w:rsidP="0063762C">
            <w:pPr>
              <w:spacing w:after="0"/>
              <w:jc w:val="right"/>
              <w:rPr>
                <w:rFonts w:ascii="Calibri" w:eastAsia="Times New Roman" w:hAnsi="Calibri" w:cs="Calibri"/>
                <w:lang w:eastAsia="en-GB"/>
              </w:rPr>
            </w:pPr>
            <w:r w:rsidRPr="00F7421F">
              <w:rPr>
                <w:rFonts w:ascii="Calibri" w:eastAsia="Times New Roman" w:hAnsi="Calibri" w:cs="Calibri"/>
                <w:lang w:eastAsia="en-GB"/>
              </w:rPr>
              <w:t xml:space="preserve">-0.649 </w:t>
            </w:r>
          </w:p>
        </w:tc>
        <w:tc>
          <w:tcPr>
            <w:tcW w:w="1334" w:type="dxa"/>
            <w:tcBorders>
              <w:top w:val="nil"/>
              <w:left w:val="nil"/>
              <w:bottom w:val="single" w:sz="4" w:space="0" w:color="auto"/>
              <w:right w:val="single" w:sz="4" w:space="0" w:color="auto"/>
            </w:tcBorders>
            <w:shd w:val="clear" w:color="auto" w:fill="auto"/>
            <w:noWrap/>
            <w:vAlign w:val="bottom"/>
            <w:hideMark/>
          </w:tcPr>
          <w:p w14:paraId="71C6D717" w14:textId="77777777" w:rsidR="005D5808" w:rsidRPr="00F7421F" w:rsidRDefault="00162F2E" w:rsidP="0063762C">
            <w:pPr>
              <w:spacing w:after="0"/>
              <w:jc w:val="right"/>
              <w:rPr>
                <w:rFonts w:ascii="Calibri" w:eastAsia="Times New Roman" w:hAnsi="Calibri" w:cs="Calibri"/>
                <w:lang w:eastAsia="en-GB"/>
              </w:rPr>
            </w:pPr>
            <w:r w:rsidRPr="00F7421F">
              <w:rPr>
                <w:rFonts w:ascii="Calibri" w:eastAsia="Times New Roman" w:hAnsi="Calibri" w:cs="Calibri"/>
                <w:lang w:eastAsia="en-GB"/>
              </w:rPr>
              <w:t xml:space="preserve">1.367 </w:t>
            </w:r>
          </w:p>
        </w:tc>
      </w:tr>
      <w:tr w:rsidR="006E5B54" w14:paraId="364CC4CD" w14:textId="77777777" w:rsidTr="0063762C">
        <w:trPr>
          <w:trHeight w:val="205"/>
        </w:trPr>
        <w:tc>
          <w:tcPr>
            <w:tcW w:w="2654" w:type="dxa"/>
            <w:tcBorders>
              <w:top w:val="nil"/>
              <w:left w:val="single" w:sz="4" w:space="0" w:color="auto"/>
              <w:bottom w:val="single" w:sz="4" w:space="0" w:color="auto"/>
              <w:right w:val="nil"/>
            </w:tcBorders>
            <w:shd w:val="clear" w:color="auto" w:fill="auto"/>
            <w:noWrap/>
            <w:vAlign w:val="center"/>
            <w:hideMark/>
          </w:tcPr>
          <w:p w14:paraId="67890AAB" w14:textId="77777777" w:rsidR="005D5808" w:rsidRPr="00F7421F" w:rsidRDefault="00162F2E" w:rsidP="0063762C">
            <w:pPr>
              <w:spacing w:after="0"/>
              <w:rPr>
                <w:rFonts w:eastAsia="Times New Roman" w:cs="Arial"/>
                <w:sz w:val="20"/>
                <w:szCs w:val="20"/>
                <w:lang w:eastAsia="en-GB"/>
              </w:rPr>
            </w:pPr>
            <w:r w:rsidRPr="00F7421F">
              <w:rPr>
                <w:rFonts w:eastAsia="Times New Roman" w:cs="Arial"/>
                <w:sz w:val="20"/>
                <w:szCs w:val="20"/>
                <w:lang w:eastAsia="en-GB"/>
              </w:rPr>
              <w:t>Transforming Cities</w:t>
            </w:r>
          </w:p>
        </w:tc>
        <w:tc>
          <w:tcPr>
            <w:tcW w:w="1261" w:type="dxa"/>
            <w:tcBorders>
              <w:top w:val="nil"/>
              <w:left w:val="single" w:sz="4" w:space="0" w:color="auto"/>
              <w:bottom w:val="single" w:sz="4" w:space="0" w:color="auto"/>
              <w:right w:val="single" w:sz="4" w:space="0" w:color="auto"/>
            </w:tcBorders>
            <w:shd w:val="clear" w:color="000000" w:fill="D9D9D9"/>
            <w:noWrap/>
            <w:vAlign w:val="bottom"/>
            <w:hideMark/>
          </w:tcPr>
          <w:p w14:paraId="0F6B318B"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-2.987 </w:t>
            </w:r>
          </w:p>
        </w:tc>
        <w:tc>
          <w:tcPr>
            <w:tcW w:w="1261" w:type="dxa"/>
            <w:tcBorders>
              <w:top w:val="nil"/>
              <w:left w:val="nil"/>
              <w:bottom w:val="single" w:sz="4" w:space="0" w:color="auto"/>
              <w:right w:val="single" w:sz="4" w:space="0" w:color="auto"/>
            </w:tcBorders>
            <w:shd w:val="clear" w:color="auto" w:fill="auto"/>
            <w:noWrap/>
            <w:vAlign w:val="bottom"/>
            <w:hideMark/>
          </w:tcPr>
          <w:p w14:paraId="1E5858CC"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261" w:type="dxa"/>
            <w:tcBorders>
              <w:top w:val="nil"/>
              <w:left w:val="nil"/>
              <w:bottom w:val="single" w:sz="4" w:space="0" w:color="auto"/>
              <w:right w:val="single" w:sz="4" w:space="0" w:color="auto"/>
            </w:tcBorders>
            <w:shd w:val="clear" w:color="auto" w:fill="auto"/>
            <w:noWrap/>
            <w:vAlign w:val="bottom"/>
            <w:hideMark/>
          </w:tcPr>
          <w:p w14:paraId="3E533F89"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c>
          <w:tcPr>
            <w:tcW w:w="1334" w:type="dxa"/>
            <w:tcBorders>
              <w:top w:val="nil"/>
              <w:left w:val="nil"/>
              <w:bottom w:val="single" w:sz="4" w:space="0" w:color="auto"/>
              <w:right w:val="single" w:sz="4" w:space="0" w:color="auto"/>
            </w:tcBorders>
            <w:shd w:val="clear" w:color="auto" w:fill="auto"/>
            <w:noWrap/>
            <w:vAlign w:val="bottom"/>
            <w:hideMark/>
          </w:tcPr>
          <w:p w14:paraId="1AB931CE"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-2.987 </w:t>
            </w:r>
          </w:p>
        </w:tc>
        <w:tc>
          <w:tcPr>
            <w:tcW w:w="1334" w:type="dxa"/>
            <w:tcBorders>
              <w:top w:val="nil"/>
              <w:left w:val="nil"/>
              <w:bottom w:val="single" w:sz="4" w:space="0" w:color="auto"/>
              <w:right w:val="single" w:sz="4" w:space="0" w:color="auto"/>
            </w:tcBorders>
            <w:shd w:val="clear" w:color="auto" w:fill="auto"/>
            <w:noWrap/>
            <w:vAlign w:val="bottom"/>
            <w:hideMark/>
          </w:tcPr>
          <w:p w14:paraId="4DB866CE" w14:textId="77777777" w:rsidR="005D5808" w:rsidRPr="00F7421F" w:rsidRDefault="00162F2E" w:rsidP="0063762C">
            <w:pPr>
              <w:spacing w:after="0"/>
              <w:jc w:val="right"/>
              <w:rPr>
                <w:rFonts w:eastAsia="Times New Roman" w:cs="Arial"/>
                <w:sz w:val="20"/>
                <w:szCs w:val="20"/>
                <w:lang w:eastAsia="en-GB"/>
              </w:rPr>
            </w:pPr>
            <w:r w:rsidRPr="00F7421F">
              <w:rPr>
                <w:rFonts w:eastAsia="Times New Roman" w:cs="Arial"/>
                <w:sz w:val="20"/>
                <w:szCs w:val="20"/>
                <w:lang w:eastAsia="en-GB"/>
              </w:rPr>
              <w:t xml:space="preserve">0.000 </w:t>
            </w:r>
          </w:p>
        </w:tc>
      </w:tr>
      <w:tr w:rsidR="006E5B54" w14:paraId="2816B39D" w14:textId="77777777" w:rsidTr="0063762C">
        <w:trPr>
          <w:trHeight w:val="205"/>
        </w:trPr>
        <w:tc>
          <w:tcPr>
            <w:tcW w:w="2654" w:type="dxa"/>
            <w:tcBorders>
              <w:top w:val="nil"/>
              <w:left w:val="single" w:sz="4" w:space="0" w:color="auto"/>
              <w:bottom w:val="single" w:sz="4" w:space="0" w:color="auto"/>
              <w:right w:val="single" w:sz="4" w:space="0" w:color="auto"/>
            </w:tcBorders>
            <w:shd w:val="clear" w:color="auto" w:fill="auto"/>
            <w:noWrap/>
            <w:vAlign w:val="center"/>
            <w:hideMark/>
          </w:tcPr>
          <w:p w14:paraId="3A26CFC1" w14:textId="77777777" w:rsidR="005D5808" w:rsidRPr="00F7421F" w:rsidRDefault="00162F2E" w:rsidP="0063762C">
            <w:pPr>
              <w:spacing w:after="0"/>
              <w:rPr>
                <w:rFonts w:eastAsia="Times New Roman" w:cs="Arial"/>
                <w:b/>
                <w:bCs/>
                <w:sz w:val="20"/>
                <w:szCs w:val="20"/>
                <w:lang w:eastAsia="en-GB"/>
              </w:rPr>
            </w:pPr>
            <w:r w:rsidRPr="00F7421F">
              <w:rPr>
                <w:rFonts w:eastAsia="Times New Roman" w:cs="Arial"/>
                <w:b/>
                <w:bCs/>
                <w:sz w:val="20"/>
                <w:szCs w:val="20"/>
                <w:lang w:eastAsia="en-GB"/>
              </w:rPr>
              <w:t>Totals</w:t>
            </w:r>
          </w:p>
        </w:tc>
        <w:tc>
          <w:tcPr>
            <w:tcW w:w="1261" w:type="dxa"/>
            <w:tcBorders>
              <w:top w:val="nil"/>
              <w:left w:val="nil"/>
              <w:bottom w:val="single" w:sz="4" w:space="0" w:color="auto"/>
              <w:right w:val="single" w:sz="4" w:space="0" w:color="auto"/>
            </w:tcBorders>
            <w:shd w:val="clear" w:color="000000" w:fill="D9D9D9"/>
            <w:noWrap/>
            <w:vAlign w:val="bottom"/>
            <w:hideMark/>
          </w:tcPr>
          <w:p w14:paraId="7DFCEC70" w14:textId="77777777" w:rsidR="005D5808" w:rsidRPr="00F7421F" w:rsidRDefault="00162F2E" w:rsidP="0063762C">
            <w:pPr>
              <w:spacing w:after="0"/>
              <w:jc w:val="right"/>
              <w:rPr>
                <w:rFonts w:eastAsia="Times New Roman" w:cs="Arial"/>
                <w:b/>
                <w:bCs/>
                <w:sz w:val="20"/>
                <w:szCs w:val="20"/>
                <w:lang w:eastAsia="en-GB"/>
              </w:rPr>
            </w:pPr>
            <w:r w:rsidRPr="00F7421F">
              <w:rPr>
                <w:rFonts w:eastAsia="Times New Roman" w:cs="Arial"/>
                <w:b/>
                <w:bCs/>
                <w:sz w:val="20"/>
                <w:szCs w:val="20"/>
                <w:lang w:eastAsia="en-GB"/>
              </w:rPr>
              <w:t xml:space="preserve">-6.439 </w:t>
            </w:r>
          </w:p>
        </w:tc>
        <w:tc>
          <w:tcPr>
            <w:tcW w:w="1261" w:type="dxa"/>
            <w:tcBorders>
              <w:top w:val="nil"/>
              <w:left w:val="nil"/>
              <w:bottom w:val="single" w:sz="4" w:space="0" w:color="auto"/>
              <w:right w:val="single" w:sz="4" w:space="0" w:color="auto"/>
            </w:tcBorders>
            <w:shd w:val="clear" w:color="auto" w:fill="auto"/>
            <w:noWrap/>
            <w:vAlign w:val="bottom"/>
            <w:hideMark/>
          </w:tcPr>
          <w:p w14:paraId="6B076FE8" w14:textId="77777777" w:rsidR="005D5808" w:rsidRPr="00F7421F" w:rsidRDefault="00162F2E" w:rsidP="0063762C">
            <w:pPr>
              <w:spacing w:after="0"/>
              <w:jc w:val="right"/>
              <w:rPr>
                <w:rFonts w:eastAsia="Times New Roman" w:cs="Arial"/>
                <w:b/>
                <w:bCs/>
                <w:sz w:val="20"/>
                <w:szCs w:val="20"/>
                <w:lang w:eastAsia="en-GB"/>
              </w:rPr>
            </w:pPr>
            <w:r w:rsidRPr="00F7421F">
              <w:rPr>
                <w:rFonts w:eastAsia="Times New Roman" w:cs="Arial"/>
                <w:b/>
                <w:bCs/>
                <w:sz w:val="20"/>
                <w:szCs w:val="20"/>
                <w:lang w:eastAsia="en-GB"/>
              </w:rPr>
              <w:t xml:space="preserve">-2.242 </w:t>
            </w:r>
          </w:p>
        </w:tc>
        <w:tc>
          <w:tcPr>
            <w:tcW w:w="1261" w:type="dxa"/>
            <w:tcBorders>
              <w:top w:val="nil"/>
              <w:left w:val="nil"/>
              <w:bottom w:val="single" w:sz="4" w:space="0" w:color="auto"/>
              <w:right w:val="single" w:sz="4" w:space="0" w:color="auto"/>
            </w:tcBorders>
            <w:shd w:val="clear" w:color="auto" w:fill="auto"/>
            <w:noWrap/>
            <w:vAlign w:val="bottom"/>
            <w:hideMark/>
          </w:tcPr>
          <w:p w14:paraId="175D14CA" w14:textId="77777777" w:rsidR="005D5808" w:rsidRPr="00F7421F" w:rsidRDefault="00162F2E" w:rsidP="0063762C">
            <w:pPr>
              <w:spacing w:after="0"/>
              <w:jc w:val="right"/>
              <w:rPr>
                <w:rFonts w:eastAsia="Times New Roman" w:cs="Arial"/>
                <w:b/>
                <w:bCs/>
                <w:sz w:val="20"/>
                <w:szCs w:val="20"/>
                <w:lang w:eastAsia="en-GB"/>
              </w:rPr>
            </w:pPr>
            <w:r w:rsidRPr="00F7421F">
              <w:rPr>
                <w:rFonts w:eastAsia="Times New Roman" w:cs="Arial"/>
                <w:b/>
                <w:bCs/>
                <w:sz w:val="20"/>
                <w:szCs w:val="20"/>
                <w:lang w:eastAsia="en-GB"/>
              </w:rPr>
              <w:t xml:space="preserve">8.189 </w:t>
            </w:r>
          </w:p>
        </w:tc>
        <w:tc>
          <w:tcPr>
            <w:tcW w:w="1334" w:type="dxa"/>
            <w:tcBorders>
              <w:top w:val="nil"/>
              <w:left w:val="nil"/>
              <w:bottom w:val="single" w:sz="4" w:space="0" w:color="auto"/>
              <w:right w:val="single" w:sz="4" w:space="0" w:color="auto"/>
            </w:tcBorders>
            <w:shd w:val="clear" w:color="auto" w:fill="auto"/>
            <w:noWrap/>
            <w:vAlign w:val="bottom"/>
            <w:hideMark/>
          </w:tcPr>
          <w:p w14:paraId="68F34672" w14:textId="77777777" w:rsidR="005D5808" w:rsidRPr="00F7421F" w:rsidRDefault="00162F2E" w:rsidP="0063762C">
            <w:pPr>
              <w:spacing w:after="0"/>
              <w:jc w:val="right"/>
              <w:rPr>
                <w:rFonts w:eastAsia="Times New Roman" w:cs="Arial"/>
                <w:b/>
                <w:bCs/>
                <w:sz w:val="20"/>
                <w:szCs w:val="20"/>
                <w:lang w:eastAsia="en-GB"/>
              </w:rPr>
            </w:pPr>
            <w:r w:rsidRPr="00F7421F">
              <w:rPr>
                <w:rFonts w:eastAsia="Times New Roman" w:cs="Arial"/>
                <w:b/>
                <w:bCs/>
                <w:sz w:val="20"/>
                <w:szCs w:val="20"/>
                <w:lang w:eastAsia="en-GB"/>
              </w:rPr>
              <w:t xml:space="preserve">-43.414 </w:t>
            </w:r>
          </w:p>
        </w:tc>
        <w:tc>
          <w:tcPr>
            <w:tcW w:w="1334" w:type="dxa"/>
            <w:tcBorders>
              <w:top w:val="nil"/>
              <w:left w:val="nil"/>
              <w:bottom w:val="single" w:sz="4" w:space="0" w:color="auto"/>
              <w:right w:val="single" w:sz="4" w:space="0" w:color="auto"/>
            </w:tcBorders>
            <w:shd w:val="clear" w:color="auto" w:fill="auto"/>
            <w:noWrap/>
            <w:vAlign w:val="bottom"/>
            <w:hideMark/>
          </w:tcPr>
          <w:p w14:paraId="57E2850A" w14:textId="77777777" w:rsidR="005D5808" w:rsidRPr="00F7421F" w:rsidRDefault="00162F2E" w:rsidP="0063762C">
            <w:pPr>
              <w:spacing w:after="0"/>
              <w:jc w:val="right"/>
              <w:rPr>
                <w:rFonts w:eastAsia="Times New Roman" w:cs="Arial"/>
                <w:b/>
                <w:bCs/>
                <w:sz w:val="20"/>
                <w:szCs w:val="20"/>
                <w:lang w:eastAsia="en-GB"/>
              </w:rPr>
            </w:pPr>
            <w:r w:rsidRPr="00F7421F">
              <w:rPr>
                <w:rFonts w:eastAsia="Times New Roman" w:cs="Arial"/>
                <w:b/>
                <w:bCs/>
                <w:sz w:val="20"/>
                <w:szCs w:val="20"/>
                <w:lang w:eastAsia="en-GB"/>
              </w:rPr>
              <w:t xml:space="preserve">31.028 </w:t>
            </w:r>
          </w:p>
        </w:tc>
      </w:tr>
    </w:tbl>
    <w:p w14:paraId="09F565DB" w14:textId="77777777" w:rsidR="005D5808" w:rsidRDefault="005D5808" w:rsidP="005D5808"/>
    <w:p w14:paraId="2651318A" w14:textId="77777777" w:rsidR="005D5808" w:rsidRDefault="00162F2E" w:rsidP="005D5808">
      <w:pPr>
        <w:spacing w:after="0"/>
        <w:rPr>
          <w:rFonts w:cstheme="minorHAnsi"/>
          <w:color w:val="000000" w:themeColor="text1"/>
        </w:rPr>
      </w:pPr>
      <w:r w:rsidRPr="002C1922">
        <w:rPr>
          <w:rFonts w:cstheme="minorHAnsi"/>
          <w:color w:val="000000" w:themeColor="text1"/>
        </w:rPr>
        <w:t>Underspends and potential underspends cover schemes that are forecast to be completed under budget. As per the capital financial regulations, these underspends can be repurposed within the same programme to allow for additional spend on other projects</w:t>
      </w:r>
      <w:r>
        <w:rPr>
          <w:rFonts w:cstheme="minorHAnsi"/>
          <w:color w:val="000000" w:themeColor="text1"/>
        </w:rPr>
        <w:t>.</w:t>
      </w:r>
    </w:p>
    <w:p w14:paraId="13E650B4" w14:textId="77777777" w:rsidR="005D5808" w:rsidRPr="002C1922" w:rsidRDefault="005D5808" w:rsidP="005D5808">
      <w:pPr>
        <w:spacing w:after="0"/>
        <w:rPr>
          <w:rFonts w:cstheme="minorHAnsi"/>
          <w:color w:val="000000" w:themeColor="text1"/>
        </w:rPr>
      </w:pPr>
    </w:p>
    <w:p w14:paraId="05B2CD81" w14:textId="77777777" w:rsidR="005D5808" w:rsidRDefault="00162F2E" w:rsidP="005D5808">
      <w:pPr>
        <w:spacing w:after="0"/>
        <w:rPr>
          <w:rFonts w:cstheme="minorHAnsi"/>
          <w:color w:val="000000" w:themeColor="text1"/>
        </w:rPr>
      </w:pPr>
      <w:r w:rsidRPr="002C1922">
        <w:rPr>
          <w:rFonts w:cstheme="minorHAnsi"/>
          <w:color w:val="000000" w:themeColor="text1"/>
        </w:rPr>
        <w:t xml:space="preserve">Overspends and potential overspends cover schemes that are forecast to be completed over budget.  As per the capital financial regulations, these underspends can be covered through repurposed monies within the same programme.   </w:t>
      </w:r>
    </w:p>
    <w:p w14:paraId="3782859C" w14:textId="77777777" w:rsidR="005D5808" w:rsidRPr="002C1922" w:rsidRDefault="005D5808" w:rsidP="005D5808">
      <w:pPr>
        <w:spacing w:after="0"/>
        <w:rPr>
          <w:rFonts w:cstheme="minorHAnsi"/>
          <w:color w:val="000000" w:themeColor="text1"/>
        </w:rPr>
      </w:pPr>
    </w:p>
    <w:p w14:paraId="254C90E8" w14:textId="77777777" w:rsidR="005D5808" w:rsidRDefault="00162F2E" w:rsidP="005D5808">
      <w:pPr>
        <w:spacing w:after="0"/>
        <w:rPr>
          <w:rFonts w:cstheme="minorHAnsi"/>
          <w:color w:val="000000" w:themeColor="text1"/>
        </w:rPr>
      </w:pPr>
      <w:r w:rsidRPr="002C1922">
        <w:rPr>
          <w:rFonts w:cstheme="minorHAnsi"/>
          <w:color w:val="000000" w:themeColor="text1"/>
        </w:rPr>
        <w:t>Slipped delivery covers expenditure that was originally forecast to be incurred in 20</w:t>
      </w:r>
      <w:r>
        <w:rPr>
          <w:rFonts w:cstheme="minorHAnsi"/>
          <w:color w:val="000000" w:themeColor="text1"/>
        </w:rPr>
        <w:t>21/22</w:t>
      </w:r>
      <w:r w:rsidRPr="002C1922">
        <w:rPr>
          <w:rFonts w:cstheme="minorHAnsi"/>
          <w:color w:val="000000" w:themeColor="text1"/>
        </w:rPr>
        <w:t xml:space="preserve"> but is now forecast to be slipped into later years.</w:t>
      </w:r>
    </w:p>
    <w:p w14:paraId="055FE8F4" w14:textId="77777777" w:rsidR="005D5808" w:rsidRPr="002C1922" w:rsidRDefault="005D5808" w:rsidP="005D5808">
      <w:pPr>
        <w:spacing w:after="0"/>
        <w:rPr>
          <w:rFonts w:cstheme="minorHAnsi"/>
          <w:color w:val="000000" w:themeColor="text1"/>
        </w:rPr>
      </w:pPr>
    </w:p>
    <w:p w14:paraId="4B7895DB" w14:textId="77777777" w:rsidR="005D5808" w:rsidRDefault="00162F2E" w:rsidP="005D5808">
      <w:pPr>
        <w:spacing w:after="0"/>
        <w:rPr>
          <w:rFonts w:cstheme="minorHAnsi"/>
          <w:color w:val="000000" w:themeColor="text1"/>
        </w:rPr>
      </w:pPr>
      <w:r w:rsidRPr="002C1922">
        <w:rPr>
          <w:rFonts w:cstheme="minorHAnsi"/>
          <w:color w:val="000000" w:themeColor="text1"/>
        </w:rPr>
        <w:t>Earlier than profiled delivery covers expenditure on schemes within the approved multi-year programme but not originally scheduled in the current year delivery programme.</w:t>
      </w:r>
    </w:p>
    <w:p w14:paraId="6C19DBC1" w14:textId="77777777" w:rsidR="005D5808" w:rsidRDefault="005D5808" w:rsidP="005D5808"/>
    <w:p w14:paraId="37107C37" w14:textId="77777777" w:rsidR="005D5808" w:rsidRPr="00690F07" w:rsidRDefault="00162F2E" w:rsidP="005D5808">
      <w:pPr>
        <w:pStyle w:val="ListParagraph"/>
        <w:numPr>
          <w:ilvl w:val="0"/>
          <w:numId w:val="30"/>
        </w:numPr>
        <w:autoSpaceDE/>
        <w:autoSpaceDN/>
        <w:adjustRightInd/>
        <w:spacing w:after="0" w:line="259" w:lineRule="auto"/>
        <w:ind w:left="426" w:hanging="426"/>
        <w:jc w:val="left"/>
        <w:rPr>
          <w:rFonts w:eastAsia="Times New Roman" w:cs="Arial"/>
          <w:b/>
          <w:lang w:eastAsia="en-GB"/>
        </w:rPr>
      </w:pPr>
      <w:r w:rsidRPr="00690F07">
        <w:rPr>
          <w:rFonts w:eastAsia="Times New Roman" w:cs="Arial"/>
          <w:b/>
          <w:lang w:eastAsia="en-GB"/>
        </w:rPr>
        <w:t xml:space="preserve">Capital Programme 2022/23 next steps: </w:t>
      </w:r>
    </w:p>
    <w:p w14:paraId="0E7A22A0" w14:textId="77777777" w:rsidR="005D5808" w:rsidRPr="00690F07" w:rsidRDefault="005D5808" w:rsidP="005D5808">
      <w:pPr>
        <w:spacing w:after="0"/>
        <w:rPr>
          <w:rFonts w:eastAsia="Times New Roman" w:cs="Arial"/>
          <w:b/>
          <w:lang w:eastAsia="en-GB"/>
        </w:rPr>
      </w:pPr>
    </w:p>
    <w:p w14:paraId="7E8F0307" w14:textId="77777777" w:rsidR="005D5808" w:rsidRPr="00690F07" w:rsidRDefault="00162F2E" w:rsidP="005D5808">
      <w:pPr>
        <w:spacing w:after="0"/>
        <w:rPr>
          <w:rFonts w:eastAsia="Times New Roman" w:cs="Arial"/>
          <w:lang w:eastAsia="en-GB"/>
        </w:rPr>
      </w:pPr>
      <w:r w:rsidRPr="00690F07">
        <w:rPr>
          <w:rFonts w:eastAsia="Times New Roman" w:cs="Arial"/>
          <w:lang w:eastAsia="en-GB"/>
        </w:rPr>
        <w:t>During the first 3 months of 2022/23 a comprehensive review of the delivery programme for 2022/23 will be undertaken by Finance for approval by Capital Board.  The work undertaken will be as follows:</w:t>
      </w:r>
    </w:p>
    <w:p w14:paraId="4F741881" w14:textId="77777777" w:rsidR="005D5808" w:rsidRPr="00A3702C" w:rsidRDefault="005D5808" w:rsidP="005D5808">
      <w:pPr>
        <w:spacing w:after="0"/>
        <w:rPr>
          <w:rFonts w:eastAsia="Times New Roman" w:cs="Arial"/>
          <w:lang w:eastAsia="en-GB"/>
        </w:rPr>
      </w:pPr>
    </w:p>
    <w:p w14:paraId="33DCFB89" w14:textId="77777777" w:rsidR="005D5808" w:rsidRDefault="00162F2E" w:rsidP="005D5808">
      <w:pPr>
        <w:pStyle w:val="ListParagraph"/>
        <w:numPr>
          <w:ilvl w:val="0"/>
          <w:numId w:val="69"/>
        </w:numPr>
        <w:spacing w:after="0"/>
        <w:rPr>
          <w:rFonts w:eastAsia="Times New Roman" w:cs="Arial"/>
          <w:lang w:eastAsia="en-GB"/>
        </w:rPr>
      </w:pPr>
      <w:r w:rsidRPr="006A64B1">
        <w:rPr>
          <w:rFonts w:eastAsia="Times New Roman" w:cs="Arial"/>
          <w:lang w:eastAsia="en-GB"/>
        </w:rPr>
        <w:t>A comprehensive review of what can be and what needs to be delivered in 2022/23 across all blocks, reflecting the final</w:t>
      </w:r>
      <w:r w:rsidRPr="00806588">
        <w:rPr>
          <w:rFonts w:eastAsia="Times New Roman" w:cs="Arial"/>
          <w:lang w:eastAsia="en-GB"/>
        </w:rPr>
        <w:t xml:space="preserve"> outturn position for 2021/22. </w:t>
      </w:r>
    </w:p>
    <w:p w14:paraId="3FAA751C" w14:textId="77777777" w:rsidR="005D5808" w:rsidRPr="00806588" w:rsidRDefault="00162F2E" w:rsidP="005D5808">
      <w:pPr>
        <w:pStyle w:val="ListParagraph"/>
        <w:numPr>
          <w:ilvl w:val="0"/>
          <w:numId w:val="69"/>
        </w:numPr>
        <w:spacing w:after="0"/>
        <w:rPr>
          <w:rFonts w:eastAsia="Times New Roman" w:cs="Arial"/>
          <w:lang w:eastAsia="en-GB"/>
        </w:rPr>
      </w:pPr>
      <w:r w:rsidRPr="006A64B1">
        <w:rPr>
          <w:rFonts w:eastAsia="Times New Roman" w:cs="Arial"/>
          <w:lang w:eastAsia="en-GB"/>
        </w:rPr>
        <w:t xml:space="preserve">Whilst considering resources available, an achievable 2022/23 delivery programme drawn up allowing for accurate financial and performance monitoring. </w:t>
      </w:r>
    </w:p>
    <w:p w14:paraId="095B91CF" w14:textId="77777777" w:rsidR="005D5808" w:rsidRPr="00A3702C" w:rsidRDefault="00162F2E" w:rsidP="005D5808">
      <w:pPr>
        <w:pStyle w:val="ListParagraph"/>
        <w:numPr>
          <w:ilvl w:val="0"/>
          <w:numId w:val="69"/>
        </w:numPr>
        <w:spacing w:after="0"/>
        <w:rPr>
          <w:rFonts w:eastAsia="Times New Roman" w:cs="Arial"/>
          <w:lang w:eastAsia="en-GB"/>
        </w:rPr>
      </w:pPr>
      <w:r w:rsidRPr="00A3702C">
        <w:rPr>
          <w:rFonts w:eastAsia="Times New Roman" w:cs="Arial"/>
          <w:lang w:eastAsia="en-GB"/>
        </w:rPr>
        <w:t>A review of the current reporting blocks to ensure they remain relevant and fit for purpose.</w:t>
      </w:r>
    </w:p>
    <w:p w14:paraId="18F5757D" w14:textId="77777777" w:rsidR="005D5808" w:rsidRPr="00A3702C" w:rsidRDefault="00162F2E" w:rsidP="005D5808">
      <w:pPr>
        <w:pStyle w:val="ListParagraph"/>
        <w:numPr>
          <w:ilvl w:val="0"/>
          <w:numId w:val="69"/>
        </w:numPr>
        <w:spacing w:after="0"/>
        <w:rPr>
          <w:rFonts w:eastAsia="Times New Roman" w:cs="Arial"/>
          <w:lang w:eastAsia="en-GB"/>
        </w:rPr>
      </w:pPr>
      <w:r w:rsidRPr="00A3702C">
        <w:rPr>
          <w:rFonts w:eastAsia="Times New Roman" w:cs="Arial"/>
          <w:lang w:eastAsia="en-GB"/>
        </w:rPr>
        <w:t>Work to ensure business as usual during the crossover period for the implementation of the new Oracle Fusion system.</w:t>
      </w:r>
    </w:p>
    <w:p w14:paraId="1BA8F43C" w14:textId="77777777" w:rsidR="005D5808" w:rsidRDefault="00162F2E" w:rsidP="005D5808">
      <w:pPr>
        <w:pStyle w:val="ListParagraph"/>
        <w:numPr>
          <w:ilvl w:val="0"/>
          <w:numId w:val="69"/>
        </w:numPr>
        <w:spacing w:after="0"/>
        <w:rPr>
          <w:rFonts w:eastAsia="Times New Roman" w:cs="Arial"/>
          <w:lang w:eastAsia="en-GB"/>
        </w:rPr>
      </w:pPr>
      <w:r w:rsidRPr="00A3702C">
        <w:rPr>
          <w:rFonts w:eastAsia="Times New Roman" w:cs="Arial"/>
          <w:lang w:eastAsia="en-GB"/>
        </w:rPr>
        <w:t>Redesign working processes to utilise the budgetary control features in Fusion, whilst putting minimal impact on service delivery.</w:t>
      </w:r>
    </w:p>
    <w:p w14:paraId="3BAE61A3" w14:textId="77777777" w:rsidR="005D5808" w:rsidRPr="00A3702C" w:rsidRDefault="005D5808" w:rsidP="005D5808">
      <w:pPr>
        <w:pStyle w:val="ListParagraph"/>
        <w:spacing w:after="0"/>
        <w:ind w:left="1080"/>
        <w:rPr>
          <w:rFonts w:eastAsia="Times New Roman" w:cs="Arial"/>
          <w:lang w:eastAsia="en-GB"/>
        </w:rPr>
      </w:pPr>
    </w:p>
    <w:p w14:paraId="2BE47AC4" w14:textId="77777777" w:rsidR="005D5808" w:rsidRPr="00A3702C" w:rsidRDefault="00162F2E" w:rsidP="005D5808">
      <w:pPr>
        <w:spacing w:after="0"/>
        <w:rPr>
          <w:rFonts w:eastAsia="Times New Roman" w:cs="Arial"/>
          <w:lang w:eastAsia="en-GB"/>
        </w:rPr>
      </w:pPr>
      <w:r w:rsidRPr="00A3702C">
        <w:rPr>
          <w:rFonts w:eastAsia="Times New Roman" w:cs="Arial"/>
          <w:lang w:eastAsia="en-GB"/>
        </w:rPr>
        <w:t xml:space="preserve">A detailed position by block will be presented for Quarter 1 in July 2022 which will set the agreed delivery plan for the year against which performance will be measured monthly and reported to cabinet quarterly.  </w:t>
      </w:r>
    </w:p>
    <w:p w14:paraId="77466ECB" w14:textId="77777777" w:rsidR="005D5808" w:rsidRDefault="005D5808" w:rsidP="005D5808">
      <w:pPr>
        <w:spacing w:after="0"/>
        <w:rPr>
          <w:rFonts w:eastAsia="Times New Roman" w:cs="Arial"/>
          <w:lang w:eastAsia="en-GB"/>
        </w:rPr>
      </w:pPr>
    </w:p>
    <w:p w14:paraId="6415476C" w14:textId="77777777" w:rsidR="005D5808" w:rsidRDefault="005D5808" w:rsidP="005D5808">
      <w:pPr>
        <w:spacing w:after="0"/>
        <w:rPr>
          <w:rFonts w:eastAsia="Times New Roman" w:cs="Arial"/>
          <w:lang w:eastAsia="en-GB"/>
        </w:rPr>
      </w:pPr>
    </w:p>
    <w:p w14:paraId="1F61E6CF" w14:textId="77777777" w:rsidR="005D5808" w:rsidRDefault="005D5808" w:rsidP="005D5808">
      <w:pPr>
        <w:spacing w:after="0"/>
        <w:rPr>
          <w:rFonts w:eastAsia="Times New Roman" w:cs="Arial"/>
          <w:b/>
          <w:lang w:eastAsia="en-GB"/>
        </w:rPr>
      </w:pPr>
    </w:p>
    <w:p w14:paraId="09E04E3F" w14:textId="77777777" w:rsidR="005D5808" w:rsidRDefault="005D5808" w:rsidP="005D5808">
      <w:pPr>
        <w:spacing w:after="0"/>
        <w:rPr>
          <w:rFonts w:eastAsia="Times New Roman" w:cs="Arial"/>
          <w:b/>
          <w:lang w:eastAsia="en-GB"/>
        </w:rPr>
      </w:pPr>
    </w:p>
    <w:p w14:paraId="7D267F74" w14:textId="77777777" w:rsidR="005D5808" w:rsidRDefault="005D5808" w:rsidP="005D5808">
      <w:pPr>
        <w:spacing w:after="0"/>
        <w:rPr>
          <w:rFonts w:eastAsia="Times New Roman" w:cs="Arial"/>
          <w:b/>
          <w:lang w:eastAsia="en-GB"/>
        </w:rPr>
      </w:pPr>
    </w:p>
    <w:p w14:paraId="48F48AAA" w14:textId="77777777" w:rsidR="006F74D5" w:rsidRDefault="006F74D5" w:rsidP="005D5808">
      <w:pPr>
        <w:spacing w:after="0"/>
        <w:rPr>
          <w:rFonts w:eastAsia="Times New Roman" w:cs="Arial"/>
          <w:b/>
          <w:lang w:eastAsia="en-GB"/>
        </w:rPr>
      </w:pPr>
    </w:p>
    <w:p w14:paraId="6878699B" w14:textId="77777777" w:rsidR="005D5808" w:rsidRDefault="005D5808" w:rsidP="005D5808">
      <w:pPr>
        <w:spacing w:after="0"/>
        <w:rPr>
          <w:rFonts w:eastAsia="Times New Roman" w:cs="Arial"/>
          <w:b/>
          <w:lang w:eastAsia="en-GB"/>
        </w:rPr>
      </w:pPr>
    </w:p>
    <w:p w14:paraId="6E7854F2" w14:textId="77777777" w:rsidR="005D5808" w:rsidRDefault="00162F2E" w:rsidP="005D5808">
      <w:pPr>
        <w:spacing w:after="0"/>
        <w:rPr>
          <w:rFonts w:cs="Arial"/>
          <w:b/>
        </w:rPr>
      </w:pPr>
      <w:r>
        <w:rPr>
          <w:rFonts w:eastAsia="Times New Roman" w:cs="Arial"/>
          <w:b/>
          <w:lang w:eastAsia="en-GB"/>
        </w:rPr>
        <w:lastRenderedPageBreak/>
        <w:t xml:space="preserve">5.  </w:t>
      </w:r>
      <w:r w:rsidRPr="006230B5">
        <w:rPr>
          <w:rFonts w:eastAsia="Times New Roman" w:cs="Arial"/>
          <w:b/>
          <w:lang w:eastAsia="en-GB"/>
        </w:rPr>
        <w:t xml:space="preserve">Capital Programme </w:t>
      </w:r>
      <w:r>
        <w:rPr>
          <w:rFonts w:eastAsia="Times New Roman" w:cs="Arial"/>
          <w:b/>
          <w:lang w:eastAsia="en-GB"/>
        </w:rPr>
        <w:t xml:space="preserve">2021/2022 </w:t>
      </w:r>
      <w:r w:rsidRPr="006230B5">
        <w:rPr>
          <w:rFonts w:eastAsia="Times New Roman" w:cs="Arial"/>
          <w:b/>
          <w:lang w:eastAsia="en-GB"/>
        </w:rPr>
        <w:t>Outturn Detailed Analysis</w:t>
      </w:r>
      <w:r w:rsidRPr="006230B5">
        <w:rPr>
          <w:rFonts w:cs="Arial"/>
          <w:b/>
        </w:rPr>
        <w:t xml:space="preserve"> </w:t>
      </w:r>
    </w:p>
    <w:p w14:paraId="195FA880" w14:textId="77777777" w:rsidR="005D5808" w:rsidRPr="00735826" w:rsidRDefault="005D5808" w:rsidP="005D5808">
      <w:pPr>
        <w:spacing w:after="0"/>
        <w:rPr>
          <w:rFonts w:cs="Arial"/>
        </w:rPr>
      </w:pPr>
    </w:p>
    <w:p w14:paraId="05CFEF39" w14:textId="77777777" w:rsidR="005D5808" w:rsidRDefault="00162F2E" w:rsidP="005D5808">
      <w:pPr>
        <w:spacing w:after="0"/>
        <w:rPr>
          <w:rFonts w:cs="Arial"/>
        </w:rPr>
      </w:pPr>
      <w:r w:rsidRPr="00735826">
        <w:rPr>
          <w:rFonts w:cs="Arial"/>
        </w:rPr>
        <w:t>The outturn variances by block from th</w:t>
      </w:r>
      <w:r>
        <w:rPr>
          <w:rFonts w:cs="Arial"/>
        </w:rPr>
        <w:t>e budget for delivery in 2021/22, with comments by programme or significant projects</w:t>
      </w:r>
      <w:r w:rsidRPr="00735826">
        <w:rPr>
          <w:rFonts w:cs="Arial"/>
        </w:rPr>
        <w:t xml:space="preserve"> as follows:</w:t>
      </w:r>
    </w:p>
    <w:p w14:paraId="15192471" w14:textId="77777777" w:rsidR="005D5808" w:rsidRPr="00185BD7" w:rsidRDefault="005D5808" w:rsidP="005D5808">
      <w:pPr>
        <w:spacing w:after="0"/>
        <w:rPr>
          <w:rFonts w:eastAsia="Times New Roman" w:cs="Arial"/>
          <w:lang w:eastAsia="en-GB"/>
        </w:rPr>
      </w:pPr>
    </w:p>
    <w:p w14:paraId="0097C883" w14:textId="77777777" w:rsidR="005D5808" w:rsidRDefault="00162F2E" w:rsidP="005D5808">
      <w:pPr>
        <w:spacing w:after="0"/>
        <w:rPr>
          <w:b/>
        </w:rPr>
      </w:pPr>
      <w:r w:rsidRPr="00026F92">
        <w:rPr>
          <w:b/>
        </w:rPr>
        <w:t xml:space="preserve">Schools </w:t>
      </w:r>
    </w:p>
    <w:p w14:paraId="59F40BAD" w14:textId="77777777" w:rsidR="005D5808" w:rsidRPr="00026F92" w:rsidRDefault="005D5808" w:rsidP="005D5808">
      <w:pPr>
        <w:spacing w:after="0"/>
        <w:rPr>
          <w:b/>
          <w:color w:val="FF0000"/>
          <w:u w:val="single"/>
        </w:rPr>
      </w:pPr>
    </w:p>
    <w:p w14:paraId="0270CDA2" w14:textId="77777777" w:rsidR="005D5808" w:rsidRDefault="00162F2E" w:rsidP="005D5808">
      <w:pPr>
        <w:spacing w:after="0"/>
        <w:rPr>
          <w:rFonts w:cstheme="minorHAnsi"/>
          <w:b/>
        </w:rPr>
      </w:pPr>
      <w:r w:rsidRPr="00026F92">
        <w:rPr>
          <w:rFonts w:cstheme="minorHAnsi"/>
          <w:b/>
        </w:rPr>
        <w:t xml:space="preserve">The schools capital programme (including devolved formula capital (DFC)) has a 2021/22 delivery plan of £25.956m. The final outturn position is £27.099m, a variance of £1.143m. </w:t>
      </w:r>
    </w:p>
    <w:p w14:paraId="3C8D805E" w14:textId="77777777" w:rsidR="005D5808" w:rsidRPr="00026F92" w:rsidRDefault="00162F2E" w:rsidP="005D5808">
      <w:pPr>
        <w:spacing w:after="0"/>
        <w:rPr>
          <w:rFonts w:cstheme="minorHAnsi"/>
          <w:b/>
        </w:rPr>
      </w:pPr>
      <w:r w:rsidRPr="00026F92">
        <w:rPr>
          <w:rFonts w:cstheme="minorHAnsi"/>
          <w:b/>
        </w:rPr>
        <w:t xml:space="preserve"> </w:t>
      </w:r>
    </w:p>
    <w:p w14:paraId="1B8258B1" w14:textId="77777777" w:rsidR="005D5808" w:rsidRDefault="00162F2E" w:rsidP="005D5808">
      <w:pPr>
        <w:spacing w:after="0"/>
        <w:rPr>
          <w:rFonts w:cstheme="minorHAnsi"/>
        </w:rPr>
      </w:pPr>
      <w:r w:rsidRPr="00026F92">
        <w:rPr>
          <w:rFonts w:cstheme="minorHAnsi"/>
        </w:rPr>
        <w:t>A summary of the main variations within the block is given below</w:t>
      </w:r>
      <w:r>
        <w:rPr>
          <w:rFonts w:cstheme="minorHAnsi"/>
        </w:rPr>
        <w:t>.</w:t>
      </w:r>
    </w:p>
    <w:p w14:paraId="72912DCD" w14:textId="77777777" w:rsidR="005D5808" w:rsidRPr="00026F92" w:rsidRDefault="005D5808" w:rsidP="005D5808">
      <w:pPr>
        <w:spacing w:after="0"/>
        <w:rPr>
          <w:rFonts w:cstheme="minorHAnsi"/>
        </w:rPr>
      </w:pPr>
    </w:p>
    <w:p w14:paraId="469717D2" w14:textId="77777777" w:rsidR="005D5808" w:rsidRDefault="00162F2E" w:rsidP="005D5808">
      <w:pPr>
        <w:spacing w:after="0"/>
        <w:rPr>
          <w:b/>
        </w:rPr>
      </w:pPr>
      <w:r w:rsidRPr="00FE2D75">
        <w:rPr>
          <w:b/>
        </w:rPr>
        <w:t>Basic Need Programme</w:t>
      </w:r>
    </w:p>
    <w:p w14:paraId="2D79A0FE" w14:textId="6B346FE6" w:rsidR="005D5808" w:rsidRDefault="00162F2E" w:rsidP="005D5808">
      <w:pPr>
        <w:spacing w:after="0"/>
        <w:rPr>
          <w:bCs/>
        </w:rPr>
      </w:pPr>
      <w:r w:rsidRPr="00FE2D75">
        <w:rPr>
          <w:bCs/>
        </w:rPr>
        <w:t xml:space="preserve">The purpose of the Basic Need programme is to increase school pupil places in targeted areas through grant funded school expansions and new school build projects. </w:t>
      </w:r>
    </w:p>
    <w:p w14:paraId="55B5CA62" w14:textId="77777777" w:rsidR="00642D26" w:rsidRPr="00FE2D75" w:rsidRDefault="00642D26" w:rsidP="005D5808">
      <w:pPr>
        <w:spacing w:after="0"/>
        <w:rPr>
          <w:bCs/>
        </w:rPr>
      </w:pPr>
    </w:p>
    <w:p w14:paraId="2E21F19D" w14:textId="77777777" w:rsidR="005D5808" w:rsidRDefault="00162F2E" w:rsidP="005D5808">
      <w:pPr>
        <w:spacing w:after="0"/>
        <w:rPr>
          <w:bCs/>
        </w:rPr>
      </w:pPr>
      <w:r w:rsidRPr="00FE2D75">
        <w:rPr>
          <w:bCs/>
        </w:rPr>
        <w:t xml:space="preserve">During the financial year a number of new projects were commissioned, including a number of SEN units to support the </w:t>
      </w:r>
      <w:r>
        <w:rPr>
          <w:bCs/>
        </w:rPr>
        <w:t>a</w:t>
      </w:r>
      <w:r w:rsidRPr="00FE2D75">
        <w:rPr>
          <w:bCs/>
        </w:rPr>
        <w:t xml:space="preserve">uthority's SEND strategy at schools in Chorley, Morecambe, Nelson and Preston, utilising the remaining </w:t>
      </w:r>
      <w:r>
        <w:rPr>
          <w:bCs/>
        </w:rPr>
        <w:t>h</w:t>
      </w:r>
      <w:r w:rsidRPr="00FE2D75">
        <w:rPr>
          <w:bCs/>
        </w:rPr>
        <w:t xml:space="preserve">igh </w:t>
      </w:r>
      <w:r>
        <w:rPr>
          <w:bCs/>
        </w:rPr>
        <w:t>n</w:t>
      </w:r>
      <w:r w:rsidRPr="00FE2D75">
        <w:rPr>
          <w:bCs/>
        </w:rPr>
        <w:t xml:space="preserve">eeds </w:t>
      </w:r>
      <w:r>
        <w:rPr>
          <w:bCs/>
        </w:rPr>
        <w:t>p</w:t>
      </w:r>
      <w:r w:rsidRPr="00FE2D75">
        <w:rPr>
          <w:bCs/>
        </w:rPr>
        <w:t xml:space="preserve">rovision </w:t>
      </w:r>
      <w:r>
        <w:rPr>
          <w:bCs/>
        </w:rPr>
        <w:t>c</w:t>
      </w:r>
      <w:r w:rsidRPr="00FE2D75">
        <w:rPr>
          <w:bCs/>
        </w:rPr>
        <w:t xml:space="preserve">apital </w:t>
      </w:r>
      <w:r>
        <w:rPr>
          <w:bCs/>
        </w:rPr>
        <w:t>a</w:t>
      </w:r>
      <w:r w:rsidRPr="00FE2D75">
        <w:rPr>
          <w:bCs/>
        </w:rPr>
        <w:t xml:space="preserve">llowance </w:t>
      </w:r>
      <w:r>
        <w:rPr>
          <w:bCs/>
        </w:rPr>
        <w:t xml:space="preserve">that </w:t>
      </w:r>
      <w:r w:rsidRPr="00FE2D75">
        <w:rPr>
          <w:bCs/>
        </w:rPr>
        <w:t>Lancashire received in the previous year</w:t>
      </w:r>
      <w:r>
        <w:rPr>
          <w:bCs/>
        </w:rPr>
        <w:t xml:space="preserve">. </w:t>
      </w:r>
    </w:p>
    <w:p w14:paraId="673ED67F" w14:textId="77777777" w:rsidR="005D5808" w:rsidRDefault="005D5808" w:rsidP="005D5808">
      <w:pPr>
        <w:spacing w:after="0"/>
        <w:rPr>
          <w:bCs/>
        </w:rPr>
      </w:pPr>
    </w:p>
    <w:p w14:paraId="70B7A465" w14:textId="77777777" w:rsidR="005D5808" w:rsidRDefault="00162F2E" w:rsidP="005D5808">
      <w:pPr>
        <w:spacing w:after="0"/>
        <w:rPr>
          <w:bCs/>
        </w:rPr>
      </w:pPr>
      <w:r w:rsidRPr="00FE2D75">
        <w:rPr>
          <w:bCs/>
        </w:rPr>
        <w:t>Large scale expansion projects to address anticipated areas of high pupil place demand were approved at Colne Primet Academy, SS John Fisher &amp; Thomas More RC High and Burnley Campus. These projects are currently undergoing design</w:t>
      </w:r>
      <w:r>
        <w:rPr>
          <w:bCs/>
        </w:rPr>
        <w:t xml:space="preserve"> work</w:t>
      </w:r>
      <w:r w:rsidRPr="00FE2D75">
        <w:rPr>
          <w:bCs/>
        </w:rPr>
        <w:t xml:space="preserve">. A new primary school was approved in Summer 2021 at the site of Clitheroe Higher Standen Farm. This is now in undergoing tendering procedures and accounts for £0.182m of additional delivery. Finally, in November 2021 approval was sought to install 2 temporary classrooms at Castercliff Academy to immediately address temporary pressures of demand for pupil places in Pendle. This accounts for £0.483m </w:t>
      </w:r>
      <w:r>
        <w:rPr>
          <w:bCs/>
        </w:rPr>
        <w:t>of</w:t>
      </w:r>
      <w:r w:rsidRPr="00FE2D75">
        <w:rPr>
          <w:bCs/>
        </w:rPr>
        <w:t xml:space="preserve"> additional in year delivery. </w:t>
      </w:r>
    </w:p>
    <w:p w14:paraId="502AA3DC" w14:textId="77777777" w:rsidR="005D5808" w:rsidRPr="00FE2D75" w:rsidRDefault="005D5808" w:rsidP="005D5808">
      <w:pPr>
        <w:spacing w:after="0"/>
        <w:rPr>
          <w:bCs/>
        </w:rPr>
      </w:pPr>
    </w:p>
    <w:p w14:paraId="0EDD21CA" w14:textId="3A21E6F2" w:rsidR="005D5808" w:rsidRDefault="00162F2E" w:rsidP="005D5808">
      <w:pPr>
        <w:spacing w:after="0"/>
        <w:rPr>
          <w:bCs/>
        </w:rPr>
      </w:pPr>
      <w:r w:rsidRPr="00FE2D75">
        <w:rPr>
          <w:bCs/>
        </w:rPr>
        <w:t xml:space="preserve">A number of projects that were previously postponed indefinitely due to the pandemic have been restarted. The expansion of Tom Finney </w:t>
      </w:r>
      <w:r>
        <w:rPr>
          <w:bCs/>
        </w:rPr>
        <w:t>h</w:t>
      </w:r>
      <w:r w:rsidRPr="00FE2D75">
        <w:rPr>
          <w:bCs/>
        </w:rPr>
        <w:t xml:space="preserve">igh </w:t>
      </w:r>
      <w:r>
        <w:rPr>
          <w:bCs/>
        </w:rPr>
        <w:t>s</w:t>
      </w:r>
      <w:r w:rsidRPr="00FE2D75">
        <w:rPr>
          <w:bCs/>
        </w:rPr>
        <w:t>chool which had been on hold since early 2020 was restarted in August 2021</w:t>
      </w:r>
      <w:r>
        <w:rPr>
          <w:bCs/>
        </w:rPr>
        <w:t xml:space="preserve"> and is progressing quicker than anticipated causing an additional delivery variance of</w:t>
      </w:r>
      <w:r w:rsidRPr="00FE2D75">
        <w:rPr>
          <w:bCs/>
        </w:rPr>
        <w:t xml:space="preserve"> £0.590m</w:t>
      </w:r>
      <w:r>
        <w:rPr>
          <w:bCs/>
        </w:rPr>
        <w:t xml:space="preserve">. The scheme </w:t>
      </w:r>
      <w:r w:rsidRPr="00FE2D75">
        <w:rPr>
          <w:bCs/>
        </w:rPr>
        <w:t xml:space="preserve">is now set to complete </w:t>
      </w:r>
      <w:r>
        <w:rPr>
          <w:bCs/>
        </w:rPr>
        <w:t xml:space="preserve">in </w:t>
      </w:r>
      <w:r w:rsidRPr="00FE2D75">
        <w:rPr>
          <w:bCs/>
        </w:rPr>
        <w:t>summer</w:t>
      </w:r>
      <w:r>
        <w:rPr>
          <w:bCs/>
        </w:rPr>
        <w:t xml:space="preserve"> 2022/23</w:t>
      </w:r>
      <w:r w:rsidRPr="00FE2D75">
        <w:rPr>
          <w:bCs/>
        </w:rPr>
        <w:t>. An SEN project in Thornton Cleveleys, previously deemed un</w:t>
      </w:r>
      <w:r>
        <w:rPr>
          <w:bCs/>
        </w:rPr>
        <w:t>viable</w:t>
      </w:r>
      <w:r w:rsidRPr="00FE2D75">
        <w:rPr>
          <w:bCs/>
        </w:rPr>
        <w:t xml:space="preserve"> and therefore cancelled was re-established in late 2021 at a different site. This project was fully delivered and accounts for £0.588m of additional delivery. </w:t>
      </w:r>
    </w:p>
    <w:p w14:paraId="41A5A77B" w14:textId="77777777" w:rsidR="00642D26" w:rsidRPr="00FE2D75" w:rsidRDefault="00642D26" w:rsidP="005D5808">
      <w:pPr>
        <w:spacing w:after="0"/>
        <w:rPr>
          <w:bCs/>
        </w:rPr>
      </w:pPr>
    </w:p>
    <w:p w14:paraId="54660751" w14:textId="77777777" w:rsidR="005D5808" w:rsidRDefault="00162F2E" w:rsidP="005D5808">
      <w:pPr>
        <w:spacing w:after="0"/>
        <w:rPr>
          <w:bCs/>
        </w:rPr>
      </w:pPr>
      <w:r w:rsidRPr="00FE2D75">
        <w:rPr>
          <w:bCs/>
        </w:rPr>
        <w:t xml:space="preserve">The large-scale project to expand Unity College, Burnley is </w:t>
      </w:r>
      <w:r>
        <w:rPr>
          <w:bCs/>
        </w:rPr>
        <w:t xml:space="preserve">progressing ahead of schedule </w:t>
      </w:r>
      <w:r w:rsidRPr="00FE2D75">
        <w:rPr>
          <w:bCs/>
        </w:rPr>
        <w:t>accounting for £0.531m in additional delivery and is due to handover within budget</w:t>
      </w:r>
      <w:r>
        <w:rPr>
          <w:bCs/>
        </w:rPr>
        <w:t xml:space="preserve"> at the start of 2022/23</w:t>
      </w:r>
      <w:r w:rsidRPr="00FE2D75">
        <w:rPr>
          <w:bCs/>
        </w:rPr>
        <w:t>.</w:t>
      </w:r>
      <w:r>
        <w:rPr>
          <w:bCs/>
        </w:rPr>
        <w:t xml:space="preserve"> </w:t>
      </w:r>
      <w:r w:rsidRPr="00FE2D75">
        <w:rPr>
          <w:bCs/>
        </w:rPr>
        <w:t>A number of other projects have reported smaller additional deliver</w:t>
      </w:r>
      <w:r>
        <w:rPr>
          <w:bCs/>
        </w:rPr>
        <w:t>y</w:t>
      </w:r>
      <w:r w:rsidRPr="00FE2D75">
        <w:rPr>
          <w:bCs/>
        </w:rPr>
        <w:t xml:space="preserve"> variances totalling £0.219m.</w:t>
      </w:r>
    </w:p>
    <w:p w14:paraId="69338C75" w14:textId="77777777" w:rsidR="005D5808" w:rsidRPr="00FE2D75" w:rsidRDefault="005D5808" w:rsidP="005D5808">
      <w:pPr>
        <w:spacing w:after="0"/>
        <w:rPr>
          <w:bCs/>
        </w:rPr>
      </w:pPr>
    </w:p>
    <w:p w14:paraId="79A06321" w14:textId="77777777" w:rsidR="005D5808" w:rsidRDefault="00162F2E" w:rsidP="005D5808">
      <w:pPr>
        <w:spacing w:after="0"/>
        <w:rPr>
          <w:bCs/>
        </w:rPr>
      </w:pPr>
      <w:r w:rsidRPr="00FE2D75">
        <w:rPr>
          <w:bCs/>
        </w:rPr>
        <w:t xml:space="preserve">A number of projects have smaller slipped delivery variances which are largely due to contractor final retention payments now falling due in early 2022/23 totalling -£0.556m and others have estimated savings totalling -£0.329m, mainly reported from a SEN unit project at Barrowford Primary School. Realised savings will be reallocated </w:t>
      </w:r>
      <w:r>
        <w:rPr>
          <w:bCs/>
        </w:rPr>
        <w:t xml:space="preserve">in 2022/23 </w:t>
      </w:r>
      <w:r w:rsidRPr="00FE2D75">
        <w:rPr>
          <w:bCs/>
        </w:rPr>
        <w:t xml:space="preserve">to advance further SEN provision work across the county. </w:t>
      </w:r>
    </w:p>
    <w:p w14:paraId="1907E825" w14:textId="77777777" w:rsidR="005D5808" w:rsidRDefault="005D5808" w:rsidP="005D5808">
      <w:pPr>
        <w:spacing w:after="0"/>
        <w:rPr>
          <w:bCs/>
        </w:rPr>
      </w:pPr>
    </w:p>
    <w:p w14:paraId="3CEBE6C0" w14:textId="77777777" w:rsidR="005D5808" w:rsidRDefault="00162F2E" w:rsidP="005D5808">
      <w:pPr>
        <w:spacing w:after="0"/>
        <w:rPr>
          <w:b/>
        </w:rPr>
      </w:pPr>
      <w:r w:rsidRPr="00543453">
        <w:rPr>
          <w:b/>
        </w:rPr>
        <w:t>Condition Programme</w:t>
      </w:r>
    </w:p>
    <w:p w14:paraId="4100189C" w14:textId="77777777" w:rsidR="00B61F72" w:rsidRPr="00543453" w:rsidRDefault="00B61F72" w:rsidP="005D5808">
      <w:pPr>
        <w:spacing w:after="0"/>
        <w:rPr>
          <w:b/>
        </w:rPr>
      </w:pPr>
    </w:p>
    <w:p w14:paraId="3BBCEFBD" w14:textId="77777777" w:rsidR="002F42BE" w:rsidRPr="00B44E93" w:rsidRDefault="00162F2E" w:rsidP="00B44E93">
      <w:pPr>
        <w:spacing w:after="0"/>
        <w:rPr>
          <w:bCs/>
        </w:rPr>
      </w:pPr>
      <w:r w:rsidRPr="00FE2D75">
        <w:rPr>
          <w:bCs/>
        </w:rPr>
        <w:t xml:space="preserve">The Condition Programme delivers a variety of grant funded works to address priority condition issues at school buildings. </w:t>
      </w:r>
    </w:p>
    <w:p w14:paraId="5A46020C" w14:textId="77777777" w:rsidR="002F42BE" w:rsidRDefault="002F42BE" w:rsidP="0CFBF26B">
      <w:pPr>
        <w:autoSpaceDE/>
        <w:autoSpaceDN/>
        <w:adjustRightInd/>
        <w:spacing w:after="0"/>
        <w:rPr>
          <w:rFonts w:eastAsia="Arial" w:cs="Arial"/>
          <w:b/>
          <w:color w:val="000000" w:themeColor="text1"/>
        </w:rPr>
      </w:pPr>
    </w:p>
    <w:p w14:paraId="4AC95EC6" w14:textId="77777777" w:rsidR="002F42BE" w:rsidRDefault="00162F2E" w:rsidP="002F42BE">
      <w:pPr>
        <w:spacing w:after="0"/>
        <w:rPr>
          <w:bCs/>
        </w:rPr>
      </w:pPr>
      <w:r w:rsidRPr="00026F92">
        <w:rPr>
          <w:bCs/>
        </w:rPr>
        <w:t xml:space="preserve">There is an outturn variance within the condition programme of -£0.839m, which can be broken down into £3.154m additional delivery, -£3.511m slipped delivery and -£0.482m underspends and potential underspends. </w:t>
      </w:r>
    </w:p>
    <w:p w14:paraId="2A45B8A8" w14:textId="77777777" w:rsidR="002F42BE" w:rsidRPr="00026F92" w:rsidRDefault="002F42BE" w:rsidP="002F42BE">
      <w:pPr>
        <w:spacing w:after="0"/>
        <w:rPr>
          <w:bCs/>
        </w:rPr>
      </w:pPr>
    </w:p>
    <w:p w14:paraId="4FC9DFFE" w14:textId="77777777" w:rsidR="002F42BE" w:rsidRDefault="00162F2E" w:rsidP="002F42BE">
      <w:pPr>
        <w:spacing w:after="0"/>
        <w:rPr>
          <w:bCs/>
        </w:rPr>
      </w:pPr>
      <w:r w:rsidRPr="00026F92">
        <w:rPr>
          <w:bCs/>
        </w:rPr>
        <w:t xml:space="preserve">The </w:t>
      </w:r>
      <w:r>
        <w:rPr>
          <w:bCs/>
        </w:rPr>
        <w:t xml:space="preserve">underspends </w:t>
      </w:r>
      <w:r w:rsidRPr="00026F92">
        <w:rPr>
          <w:bCs/>
        </w:rPr>
        <w:t xml:space="preserve">of -£0.485m </w:t>
      </w:r>
      <w:r>
        <w:rPr>
          <w:bCs/>
        </w:rPr>
        <w:t xml:space="preserve">are </w:t>
      </w:r>
      <w:r w:rsidRPr="00026F92">
        <w:rPr>
          <w:bCs/>
        </w:rPr>
        <w:t>across a number of project</w:t>
      </w:r>
      <w:r>
        <w:rPr>
          <w:bCs/>
        </w:rPr>
        <w:t>s</w:t>
      </w:r>
      <w:r w:rsidRPr="00026F92">
        <w:rPr>
          <w:bCs/>
        </w:rPr>
        <w:t xml:space="preserve"> included in the </w:t>
      </w:r>
      <w:r>
        <w:rPr>
          <w:bCs/>
        </w:rPr>
        <w:t xml:space="preserve">original </w:t>
      </w:r>
      <w:r w:rsidRPr="00026F92">
        <w:rPr>
          <w:bCs/>
        </w:rPr>
        <w:t xml:space="preserve">delivery </w:t>
      </w:r>
      <w:r>
        <w:rPr>
          <w:bCs/>
        </w:rPr>
        <w:t>plan</w:t>
      </w:r>
      <w:r w:rsidRPr="00026F92">
        <w:rPr>
          <w:bCs/>
        </w:rPr>
        <w:t xml:space="preserve">. However, it should be noted that </w:t>
      </w:r>
      <w:r>
        <w:rPr>
          <w:bCs/>
        </w:rPr>
        <w:t xml:space="preserve">actual </w:t>
      </w:r>
      <w:r w:rsidRPr="00026F92">
        <w:rPr>
          <w:bCs/>
        </w:rPr>
        <w:t xml:space="preserve">total </w:t>
      </w:r>
      <w:r>
        <w:rPr>
          <w:bCs/>
        </w:rPr>
        <w:t>underspends</w:t>
      </w:r>
      <w:r w:rsidRPr="00026F92">
        <w:rPr>
          <w:bCs/>
        </w:rPr>
        <w:t xml:space="preserve"> of -£1.465m were realised on the condition programme in 2021/22 when </w:t>
      </w:r>
      <w:r>
        <w:rPr>
          <w:bCs/>
        </w:rPr>
        <w:t>projects</w:t>
      </w:r>
      <w:r w:rsidRPr="00026F92">
        <w:rPr>
          <w:bCs/>
        </w:rPr>
        <w:t xml:space="preserve"> not included in the </w:t>
      </w:r>
      <w:r>
        <w:rPr>
          <w:bCs/>
        </w:rPr>
        <w:t xml:space="preserve">original </w:t>
      </w:r>
      <w:r w:rsidRPr="00026F92">
        <w:rPr>
          <w:bCs/>
        </w:rPr>
        <w:t xml:space="preserve">delivery plan </w:t>
      </w:r>
      <w:r>
        <w:rPr>
          <w:bCs/>
        </w:rPr>
        <w:t xml:space="preserve">and completed as advance delivery in 2021/22 </w:t>
      </w:r>
      <w:r w:rsidRPr="00026F92">
        <w:rPr>
          <w:bCs/>
        </w:rPr>
        <w:t xml:space="preserve">are counted. </w:t>
      </w:r>
      <w:r>
        <w:rPr>
          <w:bCs/>
        </w:rPr>
        <w:t xml:space="preserve">Net </w:t>
      </w:r>
      <w:r w:rsidRPr="00026F92">
        <w:rPr>
          <w:bCs/>
        </w:rPr>
        <w:t>slipped delivery of -£0.357m is reported (-£3.512m slipped delivery less £3.154m additional delivery)</w:t>
      </w:r>
      <w:r>
        <w:rPr>
          <w:bCs/>
        </w:rPr>
        <w:t xml:space="preserve"> resulting from a number of </w:t>
      </w:r>
      <w:r w:rsidRPr="00026F92">
        <w:rPr>
          <w:bCs/>
        </w:rPr>
        <w:t>projects new to 2021/22 not progress</w:t>
      </w:r>
      <w:r>
        <w:rPr>
          <w:bCs/>
        </w:rPr>
        <w:t>ing</w:t>
      </w:r>
      <w:r w:rsidRPr="00026F92">
        <w:rPr>
          <w:bCs/>
        </w:rPr>
        <w:t xml:space="preserve"> as anticipated in year</w:t>
      </w:r>
      <w:r>
        <w:rPr>
          <w:bCs/>
        </w:rPr>
        <w:t xml:space="preserve"> </w:t>
      </w:r>
      <w:r w:rsidRPr="00026F92">
        <w:rPr>
          <w:bCs/>
        </w:rPr>
        <w:t xml:space="preserve">due </w:t>
      </w:r>
      <w:r>
        <w:rPr>
          <w:bCs/>
        </w:rPr>
        <w:t xml:space="preserve">primarily </w:t>
      </w:r>
      <w:r w:rsidRPr="00026F92">
        <w:rPr>
          <w:bCs/>
        </w:rPr>
        <w:t>to complexities discovered on site</w:t>
      </w:r>
      <w:r>
        <w:rPr>
          <w:bCs/>
        </w:rPr>
        <w:t xml:space="preserve"> and </w:t>
      </w:r>
      <w:r w:rsidRPr="00026F92">
        <w:rPr>
          <w:bCs/>
        </w:rPr>
        <w:t>they have been reviewed and reprogrammed for 2022/23</w:t>
      </w:r>
      <w:r>
        <w:rPr>
          <w:bCs/>
        </w:rPr>
        <w:t>, allowing for projects programmed for 2022/23 to then be delivered ahead of schedule as advance delivery.</w:t>
      </w:r>
    </w:p>
    <w:p w14:paraId="0EA300BF" w14:textId="77777777" w:rsidR="002F42BE" w:rsidRPr="00FE2D75" w:rsidRDefault="002F42BE" w:rsidP="002F42BE">
      <w:pPr>
        <w:spacing w:after="0"/>
        <w:rPr>
          <w:bCs/>
        </w:rPr>
      </w:pPr>
    </w:p>
    <w:p w14:paraId="1E606153" w14:textId="77777777" w:rsidR="002F42BE" w:rsidRDefault="00162F2E" w:rsidP="002F42BE">
      <w:pPr>
        <w:spacing w:after="0"/>
        <w:rPr>
          <w:bCs/>
        </w:rPr>
      </w:pPr>
      <w:bookmarkStart w:id="12" w:name="_Hlk101425685"/>
      <w:r w:rsidRPr="005821CC">
        <w:rPr>
          <w:bCs/>
        </w:rPr>
        <w:t>The most noteworthy project continues to be that at Oswaldwistle Rhyddings High School, which has undergone demolition and major rebuild. The project, which started in 2017 was originally intended to replace an area of concrete panelling but eventually necessitated a complete demolition and rebuild of a building block when structural damage was uncovered, with pupils temporarily relocated to another school. The final compl</w:t>
      </w:r>
      <w:r w:rsidRPr="00B52B25">
        <w:rPr>
          <w:bCs/>
        </w:rPr>
        <w:t xml:space="preserve">etion of the project this year sees the successful conclusion of what was a challenging scheme. </w:t>
      </w:r>
      <w:bookmarkEnd w:id="12"/>
      <w:r w:rsidRPr="005821CC">
        <w:rPr>
          <w:bCs/>
        </w:rPr>
        <w:t xml:space="preserve">The position at the end of 2021/22 was £0.205m in advance of the delivery plan and the project has </w:t>
      </w:r>
      <w:r>
        <w:rPr>
          <w:bCs/>
        </w:rPr>
        <w:t>completed</w:t>
      </w:r>
      <w:r w:rsidRPr="005821CC">
        <w:rPr>
          <w:bCs/>
        </w:rPr>
        <w:t xml:space="preserve"> within budget overall.</w:t>
      </w:r>
    </w:p>
    <w:p w14:paraId="728280FF" w14:textId="77777777" w:rsidR="002F42BE" w:rsidRDefault="002F42BE" w:rsidP="002F42BE">
      <w:pPr>
        <w:spacing w:after="0"/>
        <w:rPr>
          <w:bCs/>
        </w:rPr>
      </w:pPr>
    </w:p>
    <w:p w14:paraId="139B9A4B" w14:textId="77777777" w:rsidR="002F42BE" w:rsidRPr="00543453" w:rsidRDefault="00162F2E" w:rsidP="002F42BE">
      <w:pPr>
        <w:spacing w:after="0"/>
        <w:rPr>
          <w:b/>
        </w:rPr>
      </w:pPr>
      <w:r w:rsidRPr="00543453">
        <w:rPr>
          <w:b/>
        </w:rPr>
        <w:t>Local Full Fibre Networks</w:t>
      </w:r>
    </w:p>
    <w:p w14:paraId="537AF933" w14:textId="77777777" w:rsidR="002F42BE" w:rsidRDefault="00162F2E" w:rsidP="002F42BE">
      <w:pPr>
        <w:spacing w:after="0"/>
        <w:rPr>
          <w:bCs/>
        </w:rPr>
      </w:pPr>
      <w:r w:rsidRPr="00FE2D75">
        <w:rPr>
          <w:bCs/>
        </w:rPr>
        <w:t xml:space="preserve">Funding was awarded from the </w:t>
      </w:r>
      <w:r>
        <w:rPr>
          <w:bCs/>
        </w:rPr>
        <w:t>d</w:t>
      </w:r>
      <w:r w:rsidRPr="00FE2D75">
        <w:rPr>
          <w:bCs/>
        </w:rPr>
        <w:t xml:space="preserve">epartment for </w:t>
      </w:r>
      <w:r>
        <w:rPr>
          <w:bCs/>
        </w:rPr>
        <w:t>d</w:t>
      </w:r>
      <w:r w:rsidRPr="00FE2D75">
        <w:rPr>
          <w:bCs/>
        </w:rPr>
        <w:t>igital,</w:t>
      </w:r>
      <w:r>
        <w:rPr>
          <w:bCs/>
        </w:rPr>
        <w:t xml:space="preserve"> c</w:t>
      </w:r>
      <w:r w:rsidRPr="00FE2D75">
        <w:rPr>
          <w:bCs/>
        </w:rPr>
        <w:t xml:space="preserve">ulture, </w:t>
      </w:r>
      <w:r>
        <w:rPr>
          <w:bCs/>
        </w:rPr>
        <w:t>m</w:t>
      </w:r>
      <w:r w:rsidRPr="00FE2D75">
        <w:rPr>
          <w:bCs/>
        </w:rPr>
        <w:t xml:space="preserve">edia and </w:t>
      </w:r>
      <w:r>
        <w:rPr>
          <w:bCs/>
        </w:rPr>
        <w:t>s</w:t>
      </w:r>
      <w:r w:rsidRPr="00FE2D75">
        <w:rPr>
          <w:bCs/>
        </w:rPr>
        <w:t>port to a number of schools across the county identified as premises that would benefit from the installation of</w:t>
      </w:r>
      <w:r>
        <w:rPr>
          <w:bCs/>
        </w:rPr>
        <w:t xml:space="preserve"> a </w:t>
      </w:r>
      <w:r w:rsidRPr="00FE2D75">
        <w:rPr>
          <w:bCs/>
        </w:rPr>
        <w:t xml:space="preserve"> high-speed fibre</w:t>
      </w:r>
      <w:r>
        <w:rPr>
          <w:bCs/>
        </w:rPr>
        <w:t xml:space="preserve"> network</w:t>
      </w:r>
      <w:r w:rsidRPr="00FE2D75">
        <w:rPr>
          <w:bCs/>
        </w:rPr>
        <w:t xml:space="preserve">.  The installation will be largely managed by LCC Education Digital Services. The delivery plan for 2021/22 </w:t>
      </w:r>
      <w:r>
        <w:rPr>
          <w:bCs/>
        </w:rPr>
        <w:t>was</w:t>
      </w:r>
      <w:r w:rsidRPr="00FE2D75">
        <w:rPr>
          <w:bCs/>
        </w:rPr>
        <w:t xml:space="preserve"> £0.020m which was fully spent as planned</w:t>
      </w:r>
      <w:r>
        <w:rPr>
          <w:bCs/>
        </w:rPr>
        <w:t>.</w:t>
      </w:r>
    </w:p>
    <w:p w14:paraId="2FB6FE15" w14:textId="77777777" w:rsidR="002F42BE" w:rsidRPr="00FE2D75" w:rsidRDefault="002F42BE" w:rsidP="002F42BE">
      <w:pPr>
        <w:spacing w:after="0"/>
        <w:rPr>
          <w:bCs/>
        </w:rPr>
      </w:pPr>
    </w:p>
    <w:p w14:paraId="1A3E3C54" w14:textId="77777777" w:rsidR="002F42BE" w:rsidRPr="00543453" w:rsidRDefault="00162F2E" w:rsidP="002F42BE">
      <w:pPr>
        <w:spacing w:after="0"/>
        <w:rPr>
          <w:b/>
        </w:rPr>
      </w:pPr>
      <w:r w:rsidRPr="00543453">
        <w:rPr>
          <w:b/>
        </w:rPr>
        <w:t>Devolved Formula Capital</w:t>
      </w:r>
      <w:r>
        <w:rPr>
          <w:b/>
        </w:rPr>
        <w:t xml:space="preserve"> (DFC)</w:t>
      </w:r>
    </w:p>
    <w:p w14:paraId="609D2E0B" w14:textId="77777777" w:rsidR="002F42BE" w:rsidRPr="005821CC" w:rsidRDefault="00162F2E" w:rsidP="002F42BE">
      <w:pPr>
        <w:spacing w:after="0"/>
        <w:rPr>
          <w:bCs/>
        </w:rPr>
      </w:pPr>
      <w:r w:rsidRPr="005821CC">
        <w:rPr>
          <w:bCs/>
        </w:rPr>
        <w:t xml:space="preserve">The DFC programme is a grant funded programme for small to medium capital projects. It is allocated to schools on a formula basis by the DfE for schools to spend on capital projects within expenditure guidelines. </w:t>
      </w:r>
      <w:bookmarkStart w:id="13" w:name="_Hlk101425721"/>
      <w:r w:rsidRPr="005821CC">
        <w:rPr>
          <w:bCs/>
        </w:rPr>
        <w:t xml:space="preserve">The DFC 2021/22 delivery plan is £2.380m. During </w:t>
      </w:r>
      <w:r>
        <w:rPr>
          <w:bCs/>
        </w:rPr>
        <w:t>2021/22</w:t>
      </w:r>
      <w:r w:rsidRPr="005821CC">
        <w:rPr>
          <w:bCs/>
        </w:rPr>
        <w:t xml:space="preserve"> spend on DFC projects totalled £2.654m, which is an additional variance on the delivery plan £0.274m.</w:t>
      </w:r>
      <w:bookmarkEnd w:id="13"/>
      <w:r w:rsidRPr="005821CC">
        <w:rPr>
          <w:bCs/>
        </w:rPr>
        <w:t xml:space="preserve"> the additional spend being funded from unutilised balances from prior years grant allocations.</w:t>
      </w:r>
    </w:p>
    <w:p w14:paraId="08FC396F" w14:textId="77777777" w:rsidR="002F42BE" w:rsidRDefault="002F42BE" w:rsidP="002F42BE">
      <w:pPr>
        <w:spacing w:after="0"/>
        <w:rPr>
          <w:b/>
          <w:highlight w:val="yellow"/>
        </w:rPr>
      </w:pPr>
    </w:p>
    <w:p w14:paraId="4F341E35" w14:textId="77777777" w:rsidR="002F42BE" w:rsidRDefault="00162F2E" w:rsidP="002F42BE">
      <w:pPr>
        <w:spacing w:after="0"/>
        <w:rPr>
          <w:b/>
          <w:bCs/>
        </w:rPr>
      </w:pPr>
      <w:r w:rsidRPr="00332ABF">
        <w:rPr>
          <w:b/>
          <w:bCs/>
        </w:rPr>
        <w:t>Highways</w:t>
      </w:r>
    </w:p>
    <w:p w14:paraId="1D77AAA7" w14:textId="77777777" w:rsidR="002F42BE" w:rsidRPr="00332ABF" w:rsidRDefault="002F42BE" w:rsidP="002F42BE">
      <w:pPr>
        <w:spacing w:after="0"/>
        <w:rPr>
          <w:b/>
          <w:bCs/>
        </w:rPr>
      </w:pPr>
    </w:p>
    <w:p w14:paraId="12DA8284" w14:textId="77777777" w:rsidR="002F42BE" w:rsidRDefault="00162F2E" w:rsidP="002F42BE">
      <w:pPr>
        <w:spacing w:after="0"/>
        <w:rPr>
          <w:rFonts w:cstheme="minorHAnsi"/>
          <w:b/>
        </w:rPr>
      </w:pPr>
      <w:r w:rsidRPr="00332ABF">
        <w:rPr>
          <w:rFonts w:cstheme="minorHAnsi"/>
          <w:b/>
        </w:rPr>
        <w:t xml:space="preserve">The Highways capital programme has a 2021/22 delivery plan of £53.933m. The final outturn position is £59.794m, a variance of £5.861m.  </w:t>
      </w:r>
    </w:p>
    <w:p w14:paraId="63CDBE1E" w14:textId="77777777" w:rsidR="002F42BE" w:rsidRPr="00A91A8F" w:rsidRDefault="002F42BE" w:rsidP="002F42BE">
      <w:pPr>
        <w:spacing w:after="0"/>
        <w:rPr>
          <w:rFonts w:cstheme="minorHAnsi"/>
          <w:b/>
        </w:rPr>
      </w:pPr>
    </w:p>
    <w:p w14:paraId="67037FA1" w14:textId="77777777" w:rsidR="002F42BE" w:rsidRDefault="00162F2E" w:rsidP="002F42BE">
      <w:pPr>
        <w:spacing w:after="0"/>
        <w:rPr>
          <w:rFonts w:cstheme="minorHAnsi"/>
          <w:bCs/>
        </w:rPr>
      </w:pPr>
      <w:r w:rsidRPr="00A91A8F">
        <w:rPr>
          <w:rFonts w:cstheme="minorHAnsi"/>
          <w:bCs/>
        </w:rPr>
        <w:t xml:space="preserve">A summary of the main variances within the block are given below: </w:t>
      </w:r>
    </w:p>
    <w:p w14:paraId="0C443190" w14:textId="77777777" w:rsidR="002F42BE" w:rsidRPr="00A91A8F" w:rsidRDefault="002F42BE" w:rsidP="002F42BE">
      <w:pPr>
        <w:spacing w:after="0"/>
        <w:rPr>
          <w:rFonts w:cstheme="minorHAnsi"/>
          <w:bCs/>
        </w:rPr>
      </w:pPr>
    </w:p>
    <w:p w14:paraId="2F2E0E45" w14:textId="77777777" w:rsidR="002F42BE" w:rsidRDefault="00162F2E" w:rsidP="002F42BE">
      <w:pPr>
        <w:spacing w:after="0"/>
        <w:rPr>
          <w:rFonts w:cstheme="minorHAnsi"/>
          <w:bCs/>
        </w:rPr>
      </w:pPr>
      <w:r w:rsidRPr="00A91A8F">
        <w:rPr>
          <w:rFonts w:cstheme="minorHAnsi"/>
          <w:bCs/>
        </w:rPr>
        <w:t xml:space="preserve">The structural defects programme had an overspend of £6.845m. The was due to two factors, a sustained increase in the number of defects being reported and the </w:t>
      </w:r>
      <w:r>
        <w:rPr>
          <w:rFonts w:cstheme="minorHAnsi"/>
          <w:bCs/>
        </w:rPr>
        <w:t xml:space="preserve">approach adopted </w:t>
      </w:r>
      <w:r w:rsidRPr="00A91A8F">
        <w:rPr>
          <w:rFonts w:cstheme="minorHAnsi"/>
          <w:bCs/>
        </w:rPr>
        <w:t xml:space="preserve">to improve </w:t>
      </w:r>
      <w:r>
        <w:rPr>
          <w:rFonts w:cstheme="minorHAnsi"/>
          <w:bCs/>
        </w:rPr>
        <w:t xml:space="preserve">the </w:t>
      </w:r>
      <w:r w:rsidRPr="00A91A8F">
        <w:rPr>
          <w:rFonts w:cstheme="minorHAnsi"/>
          <w:bCs/>
        </w:rPr>
        <w:t>quality and increase size of the repair where necessary. The continued use of the current health &amp; safety inspection policy on intervention levels and response times has also had an impact.</w:t>
      </w:r>
      <w:r>
        <w:rPr>
          <w:rFonts w:cstheme="minorHAnsi"/>
          <w:bCs/>
        </w:rPr>
        <w:t xml:space="preserve"> </w:t>
      </w:r>
      <w:r w:rsidRPr="00A91A8F">
        <w:rPr>
          <w:rFonts w:cstheme="minorHAnsi"/>
          <w:bCs/>
        </w:rPr>
        <w:t xml:space="preserve">The increased number of defects being reported resulted in an increased use of sub-contractor resources, use of these sub-contractors further down the dayworks framework are significantly more expensive and were used to keep up with demand. Due to the </w:t>
      </w:r>
      <w:r>
        <w:rPr>
          <w:rFonts w:cstheme="minorHAnsi"/>
          <w:bCs/>
        </w:rPr>
        <w:t xml:space="preserve">high </w:t>
      </w:r>
      <w:r w:rsidRPr="00A91A8F">
        <w:rPr>
          <w:rFonts w:cstheme="minorHAnsi"/>
          <w:bCs/>
        </w:rPr>
        <w:t xml:space="preserve">level of spend on structural defects during 2021/22 a working group </w:t>
      </w:r>
      <w:r>
        <w:rPr>
          <w:rFonts w:cstheme="minorHAnsi"/>
          <w:bCs/>
        </w:rPr>
        <w:t>was</w:t>
      </w:r>
      <w:r w:rsidRPr="00A91A8F">
        <w:rPr>
          <w:rFonts w:cstheme="minorHAnsi"/>
          <w:bCs/>
        </w:rPr>
        <w:t xml:space="preserve"> established to review working practices </w:t>
      </w:r>
      <w:r>
        <w:rPr>
          <w:rFonts w:cstheme="minorHAnsi"/>
          <w:bCs/>
        </w:rPr>
        <w:t>and t</w:t>
      </w:r>
      <w:r w:rsidRPr="00A91A8F">
        <w:rPr>
          <w:rFonts w:cstheme="minorHAnsi"/>
          <w:bCs/>
        </w:rPr>
        <w:t>he new ways of working are being implemented from 1 April 2022.</w:t>
      </w:r>
    </w:p>
    <w:p w14:paraId="14E6464F" w14:textId="77777777" w:rsidR="002F42BE" w:rsidRPr="00A91A8F" w:rsidRDefault="002F42BE" w:rsidP="002F42BE">
      <w:pPr>
        <w:spacing w:after="0"/>
        <w:rPr>
          <w:rFonts w:cstheme="minorHAnsi"/>
          <w:bCs/>
        </w:rPr>
      </w:pPr>
    </w:p>
    <w:p w14:paraId="612404FC" w14:textId="0B170429" w:rsidR="002F42BE" w:rsidRDefault="00162F2E" w:rsidP="002F42BE">
      <w:pPr>
        <w:spacing w:after="0"/>
        <w:rPr>
          <w:rFonts w:cstheme="minorHAnsi"/>
          <w:bCs/>
        </w:rPr>
      </w:pPr>
      <w:r w:rsidRPr="00A91A8F">
        <w:rPr>
          <w:rFonts w:cstheme="minorHAnsi"/>
          <w:bCs/>
        </w:rPr>
        <w:t>A number of schemes within the bridge maintenance and structural maintenance programmes have slipped, this is due to the prioritisation of flood damage schemes because of their impact on the road network, causing a slippage variance of -£1.235m.</w:t>
      </w:r>
    </w:p>
    <w:p w14:paraId="0D0750A5" w14:textId="77777777" w:rsidR="00642D26" w:rsidRPr="00A91A8F" w:rsidRDefault="00642D26" w:rsidP="002F42BE">
      <w:pPr>
        <w:spacing w:after="0"/>
        <w:rPr>
          <w:rFonts w:cstheme="minorHAnsi"/>
          <w:bCs/>
        </w:rPr>
      </w:pPr>
    </w:p>
    <w:p w14:paraId="3DE031E8" w14:textId="77777777" w:rsidR="002F42BE" w:rsidRDefault="00162F2E" w:rsidP="002F42BE">
      <w:pPr>
        <w:spacing w:after="0"/>
        <w:rPr>
          <w:rFonts w:cstheme="minorHAnsi"/>
          <w:bCs/>
        </w:rPr>
      </w:pPr>
      <w:r w:rsidRPr="00A91A8F">
        <w:rPr>
          <w:rFonts w:cstheme="minorHAnsi"/>
          <w:bCs/>
        </w:rPr>
        <w:t>Construction on Derby Street bridge, Ormskirk, has been delayed resulting in slippage of -£0.622m.  Some of the 2021/22 principal bridge inspections being delivered by consultants will be carried out during 2022/23 resulting in slippage of -£0.322m and also within the bridges programme there is slippage of -£0.151m on post tension special inspection and assessments.</w:t>
      </w:r>
    </w:p>
    <w:p w14:paraId="5CE75C82" w14:textId="77777777" w:rsidR="002F42BE" w:rsidRPr="00A91A8F" w:rsidRDefault="002F42BE" w:rsidP="002F42BE">
      <w:pPr>
        <w:spacing w:after="0"/>
        <w:rPr>
          <w:rFonts w:cstheme="minorHAnsi"/>
          <w:bCs/>
        </w:rPr>
      </w:pPr>
    </w:p>
    <w:p w14:paraId="32D4CF27" w14:textId="77777777" w:rsidR="002F42BE" w:rsidRDefault="00162F2E" w:rsidP="002F42BE">
      <w:pPr>
        <w:spacing w:after="0"/>
        <w:rPr>
          <w:rFonts w:cstheme="minorHAnsi"/>
          <w:bCs/>
        </w:rPr>
      </w:pPr>
      <w:r w:rsidRPr="00332ABF">
        <w:rPr>
          <w:rFonts w:cstheme="minorHAnsi"/>
          <w:bCs/>
        </w:rPr>
        <w:t>Parts of the 2020/21 transport infrastructure investment fund (TIIF) storm damage bridges and structures programme will be delivered in 2022/23 due to environmental constraints such as Environment Agency permission to access rivers. This continued delay has caused slippage of £-0.302m.</w:t>
      </w:r>
    </w:p>
    <w:p w14:paraId="291BE289" w14:textId="77777777" w:rsidR="002F42BE" w:rsidRPr="00332ABF" w:rsidRDefault="002F42BE" w:rsidP="002F42BE">
      <w:pPr>
        <w:spacing w:after="0"/>
        <w:rPr>
          <w:rFonts w:cstheme="minorHAnsi"/>
          <w:bCs/>
        </w:rPr>
      </w:pPr>
    </w:p>
    <w:p w14:paraId="2DCE73AB" w14:textId="77777777" w:rsidR="002F42BE" w:rsidRDefault="00162F2E" w:rsidP="002F42BE">
      <w:pPr>
        <w:spacing w:after="0"/>
        <w:rPr>
          <w:rFonts w:cstheme="minorHAnsi"/>
          <w:bCs/>
        </w:rPr>
      </w:pPr>
      <w:r w:rsidRPr="00332ABF">
        <w:rPr>
          <w:rFonts w:cstheme="minorHAnsi"/>
          <w:bCs/>
        </w:rPr>
        <w:t>Engaging with utility companies who are taking longer to respond to queries lengthened the lead time from delivery to construction and therefore affected the delivery of the 2021/22 bridges and structures storm damage programme causing a slippage variance of -£0.235m.</w:t>
      </w:r>
    </w:p>
    <w:p w14:paraId="64382F0D" w14:textId="77777777" w:rsidR="002F42BE" w:rsidRPr="00332ABF" w:rsidRDefault="002F42BE" w:rsidP="002F42BE">
      <w:pPr>
        <w:spacing w:after="0"/>
        <w:rPr>
          <w:rFonts w:cstheme="minorHAnsi"/>
          <w:bCs/>
        </w:rPr>
      </w:pPr>
    </w:p>
    <w:p w14:paraId="5A71EDF2" w14:textId="77777777" w:rsidR="002F42BE" w:rsidRDefault="00162F2E" w:rsidP="002F42BE">
      <w:pPr>
        <w:spacing w:after="0"/>
        <w:rPr>
          <w:rFonts w:cstheme="minorHAnsi"/>
          <w:bCs/>
        </w:rPr>
      </w:pPr>
      <w:r w:rsidRPr="00332ABF">
        <w:rPr>
          <w:rFonts w:cstheme="minorHAnsi"/>
          <w:bCs/>
        </w:rPr>
        <w:t>As a result of an additional investment of £10.000m being added to the programme in February 2021, the ABC and urban roads programmes were expanded.  When the delivery programme was set in May 2021 some of the schemes still had to be programmed, therefore as schemes were prioritised and programmed during the year, it caused some schemes to slip into 2022/23 whilst others were delivered ahead of schedule. The impact on the ABC programme was slippage of -£1.189m and additional delivery of £1.733m. Within the urban programme a prudent view of what could be delivered on top of the original agreed programme was taken. Delivery progressed better than anticipated causing an additional delivery variance of £2.752m.</w:t>
      </w:r>
    </w:p>
    <w:p w14:paraId="5FC25027" w14:textId="77777777" w:rsidR="002F42BE" w:rsidRPr="00332ABF" w:rsidRDefault="002F42BE" w:rsidP="002F42BE">
      <w:pPr>
        <w:spacing w:after="0"/>
        <w:rPr>
          <w:rFonts w:cstheme="minorHAnsi"/>
          <w:bCs/>
        </w:rPr>
      </w:pPr>
    </w:p>
    <w:p w14:paraId="3C89CFF2" w14:textId="77777777" w:rsidR="002F42BE" w:rsidRDefault="00162F2E" w:rsidP="002F42BE">
      <w:pPr>
        <w:spacing w:after="0"/>
        <w:rPr>
          <w:rFonts w:cstheme="minorHAnsi"/>
          <w:bCs/>
        </w:rPr>
      </w:pPr>
      <w:r w:rsidRPr="00F9646E">
        <w:rPr>
          <w:rFonts w:cstheme="minorHAnsi"/>
          <w:bCs/>
        </w:rPr>
        <w:t>Several schemes within the safer roads programme, safety camera maintenance programme and the traffic signal programme are now expected to be delivered in 2022/23 resulting in slippage of  -£0.431m. This is mostly due to a reprioritisation of works, with more urgent schemes being delivered ahead of the schemes originally programmed when the delivery plan was set.</w:t>
      </w:r>
    </w:p>
    <w:p w14:paraId="0DFB4059" w14:textId="77777777" w:rsidR="002F42BE" w:rsidRPr="00F9646E" w:rsidRDefault="002F42BE" w:rsidP="002F42BE">
      <w:pPr>
        <w:spacing w:after="0"/>
        <w:rPr>
          <w:rFonts w:cstheme="minorHAnsi"/>
          <w:bCs/>
        </w:rPr>
      </w:pPr>
    </w:p>
    <w:p w14:paraId="7AE04A1B" w14:textId="77777777" w:rsidR="002F42BE" w:rsidRPr="00332ABF" w:rsidRDefault="00162F2E" w:rsidP="002F42BE">
      <w:pPr>
        <w:spacing w:after="0"/>
        <w:rPr>
          <w:rFonts w:cstheme="minorHAnsi"/>
          <w:bCs/>
        </w:rPr>
      </w:pPr>
      <w:r w:rsidRPr="00332ABF">
        <w:rPr>
          <w:rFonts w:cstheme="minorHAnsi"/>
          <w:bCs/>
        </w:rPr>
        <w:t>Within the rural roads programme and the moss road programme, slippage of -£0.543m is due to the delivery of a handful of schemes being changed to 2022/23.</w:t>
      </w:r>
    </w:p>
    <w:p w14:paraId="0987DB5B" w14:textId="77777777" w:rsidR="002F42BE" w:rsidRDefault="00162F2E" w:rsidP="002F42BE">
      <w:pPr>
        <w:spacing w:after="0"/>
        <w:rPr>
          <w:rFonts w:cstheme="minorHAnsi"/>
          <w:bCs/>
        </w:rPr>
      </w:pPr>
      <w:r w:rsidRPr="00332ABF">
        <w:rPr>
          <w:rFonts w:cstheme="minorHAnsi"/>
          <w:bCs/>
        </w:rPr>
        <w:lastRenderedPageBreak/>
        <w:t>Within the footway programme slippage of -£0.763m on slurry seal schemes due to contractor availability has been offset by additional delivery elsewhere in the programme of £0.604m.</w:t>
      </w:r>
    </w:p>
    <w:p w14:paraId="3BF6FB1D" w14:textId="77777777" w:rsidR="00BD2082" w:rsidRDefault="00BD2082" w:rsidP="002F42BE">
      <w:pPr>
        <w:spacing w:after="0"/>
        <w:rPr>
          <w:rFonts w:cstheme="minorHAnsi"/>
          <w:bCs/>
        </w:rPr>
      </w:pPr>
    </w:p>
    <w:p w14:paraId="0D0C6533" w14:textId="77777777" w:rsidR="00BD2082" w:rsidRDefault="00162F2E" w:rsidP="00BD2082">
      <w:pPr>
        <w:spacing w:after="0"/>
        <w:rPr>
          <w:rFonts w:cstheme="minorHAnsi"/>
          <w:bCs/>
        </w:rPr>
      </w:pPr>
      <w:r w:rsidRPr="00332ABF">
        <w:rPr>
          <w:rFonts w:cstheme="minorHAnsi"/>
          <w:bCs/>
        </w:rPr>
        <w:t>Slippage on some drainage schemes totalling -£0.554m due to available resources being prioritised for the drainage works needed ahead of programmed resurfacing works</w:t>
      </w:r>
      <w:r>
        <w:rPr>
          <w:rFonts w:cstheme="minorHAnsi"/>
          <w:bCs/>
        </w:rPr>
        <w:t>, and the reprogramming of 6 schemes within the flood prevention programme resulting in slippage of -£0.457m.</w:t>
      </w:r>
    </w:p>
    <w:p w14:paraId="2F930AF4" w14:textId="77777777" w:rsidR="00BD2082" w:rsidRPr="00332ABF" w:rsidRDefault="00BD2082" w:rsidP="00BD2082">
      <w:pPr>
        <w:spacing w:after="0"/>
        <w:rPr>
          <w:rFonts w:cstheme="minorHAnsi"/>
          <w:bCs/>
        </w:rPr>
      </w:pPr>
    </w:p>
    <w:p w14:paraId="3717F9AC" w14:textId="77777777" w:rsidR="00BD2082" w:rsidRPr="00A91A8F" w:rsidRDefault="00162F2E" w:rsidP="00BD2082">
      <w:pPr>
        <w:spacing w:after="0"/>
        <w:rPr>
          <w:rFonts w:cstheme="minorHAnsi"/>
          <w:bCs/>
          <w:highlight w:val="magenta"/>
        </w:rPr>
      </w:pPr>
      <w:r w:rsidRPr="00332ABF">
        <w:rPr>
          <w:rFonts w:cstheme="minorHAnsi"/>
          <w:bCs/>
        </w:rPr>
        <w:t>Despite challenges with staff isolating and shortages of certain materials Highways delivered additional schemes across various programmes to the value of £2.097m. In addition to this, good progress has been made on the DFT challenge fund retaining walls programme resulting in additional</w:t>
      </w:r>
      <w:r>
        <w:rPr>
          <w:rFonts w:cstheme="minorHAnsi"/>
          <w:bCs/>
        </w:rPr>
        <w:t xml:space="preserve"> </w:t>
      </w:r>
      <w:r w:rsidRPr="00332ABF">
        <w:rPr>
          <w:rFonts w:cstheme="minorHAnsi"/>
          <w:bCs/>
        </w:rPr>
        <w:t>delivery of £0.631m, and increased coring activity within the asset testing programme has resulted in additional delivery of £0.888m.</w:t>
      </w:r>
    </w:p>
    <w:p w14:paraId="2DD21CD1" w14:textId="77777777" w:rsidR="00BD2082" w:rsidRPr="00737295" w:rsidRDefault="00BD2082" w:rsidP="00BD2082">
      <w:pPr>
        <w:spacing w:after="0"/>
        <w:rPr>
          <w:highlight w:val="yellow"/>
        </w:rPr>
      </w:pPr>
    </w:p>
    <w:p w14:paraId="70A855E4" w14:textId="77777777" w:rsidR="00BD2082" w:rsidRDefault="00162F2E" w:rsidP="00BD2082">
      <w:pPr>
        <w:spacing w:after="0"/>
        <w:rPr>
          <w:b/>
          <w:bCs/>
        </w:rPr>
      </w:pPr>
      <w:r w:rsidRPr="00026F92">
        <w:rPr>
          <w:b/>
          <w:bCs/>
        </w:rPr>
        <w:t xml:space="preserve">Transport </w:t>
      </w:r>
    </w:p>
    <w:p w14:paraId="04F3EF1D" w14:textId="77777777" w:rsidR="00BD2082" w:rsidRPr="00026F92" w:rsidRDefault="00BD2082" w:rsidP="00BD2082">
      <w:pPr>
        <w:spacing w:after="0"/>
      </w:pPr>
    </w:p>
    <w:p w14:paraId="1D28D293" w14:textId="77777777" w:rsidR="00BD2082" w:rsidRDefault="00162F2E" w:rsidP="00BD2082">
      <w:pPr>
        <w:spacing w:after="0"/>
        <w:rPr>
          <w:rFonts w:cstheme="minorHAnsi"/>
          <w:b/>
        </w:rPr>
      </w:pPr>
      <w:r w:rsidRPr="00026F92">
        <w:rPr>
          <w:rFonts w:cstheme="minorHAnsi"/>
          <w:b/>
        </w:rPr>
        <w:t xml:space="preserve">The Transport capital programme has a 2021/22 delivery plan of £15.958m. The final outturn position is £14.856m, a variance of -£1.102m.  </w:t>
      </w:r>
    </w:p>
    <w:p w14:paraId="42231D3B" w14:textId="77777777" w:rsidR="00BD2082" w:rsidRPr="00026F92" w:rsidRDefault="00BD2082" w:rsidP="00BD2082">
      <w:pPr>
        <w:spacing w:after="0"/>
        <w:rPr>
          <w:rFonts w:cstheme="minorHAnsi"/>
          <w:b/>
        </w:rPr>
      </w:pPr>
    </w:p>
    <w:p w14:paraId="58253361" w14:textId="77777777" w:rsidR="00BD2082" w:rsidRDefault="00162F2E" w:rsidP="00BD2082">
      <w:pPr>
        <w:spacing w:after="0"/>
      </w:pPr>
      <w:r w:rsidRPr="003C209C">
        <w:t>A summary of the main variations within the block is given below</w:t>
      </w:r>
      <w:r>
        <w:t>:</w:t>
      </w:r>
    </w:p>
    <w:p w14:paraId="2630ED00" w14:textId="77777777" w:rsidR="00BD2082" w:rsidRPr="003C209C" w:rsidRDefault="00BD2082" w:rsidP="00BD2082">
      <w:pPr>
        <w:spacing w:after="0"/>
      </w:pPr>
    </w:p>
    <w:p w14:paraId="3E00EDE5" w14:textId="77777777" w:rsidR="00BD2082" w:rsidRPr="003C209C" w:rsidRDefault="00162F2E" w:rsidP="00BD2082">
      <w:pPr>
        <w:spacing w:after="0"/>
        <w:rPr>
          <w:b/>
        </w:rPr>
      </w:pPr>
      <w:bookmarkStart w:id="14" w:name="_Hlk101442532"/>
      <w:bookmarkStart w:id="15" w:name="_Hlk101446492"/>
      <w:r w:rsidRPr="003C209C">
        <w:rPr>
          <w:b/>
        </w:rPr>
        <w:t>Safer Roads Scheme</w:t>
      </w:r>
    </w:p>
    <w:p w14:paraId="44B33C50" w14:textId="77777777" w:rsidR="00BD2082" w:rsidRDefault="00162F2E" w:rsidP="00BD2082">
      <w:pPr>
        <w:spacing w:after="0"/>
        <w:rPr>
          <w:bCs/>
        </w:rPr>
      </w:pPr>
      <w:r w:rsidRPr="00332326">
        <w:rPr>
          <w:bCs/>
        </w:rPr>
        <w:t>In 2018, LCC successfully secured full funding for 5 route lengths during the second round of the Safer Road Fund Bid process, grants totalling £7.942m were awarded. The grant was provided to cover changes to road layouts, speed cameras, better lighting, road studs etc. The majority of the work has now been completed across the 5 projects with the exception of the speed cameras which will be re-tendered in 2022/23. A variance of £1.083m additional delivery occurred in 2021/22 with work progressing quicker than anticipated when the delivery plan was drawn up.</w:t>
      </w:r>
    </w:p>
    <w:p w14:paraId="2B1DA5E6" w14:textId="77777777" w:rsidR="00BD2082" w:rsidRPr="003C209C" w:rsidRDefault="00BD2082" w:rsidP="00BD2082">
      <w:pPr>
        <w:spacing w:after="0"/>
        <w:rPr>
          <w:bCs/>
        </w:rPr>
      </w:pPr>
    </w:p>
    <w:p w14:paraId="2B72446B" w14:textId="77777777" w:rsidR="00BD2082" w:rsidRDefault="00162F2E" w:rsidP="00BD2082">
      <w:pPr>
        <w:spacing w:after="0"/>
        <w:rPr>
          <w:b/>
        </w:rPr>
      </w:pPr>
      <w:bookmarkStart w:id="16" w:name="_Hlk101442566"/>
      <w:bookmarkEnd w:id="14"/>
      <w:r w:rsidRPr="003C209C">
        <w:rPr>
          <w:b/>
        </w:rPr>
        <w:t xml:space="preserve">National Productivity Investment Fund (NPIF) </w:t>
      </w:r>
    </w:p>
    <w:p w14:paraId="59B78ADF" w14:textId="77777777" w:rsidR="00BD2082" w:rsidRDefault="00162F2E" w:rsidP="00BD2082">
      <w:pPr>
        <w:spacing w:after="0"/>
        <w:rPr>
          <w:bCs/>
        </w:rPr>
      </w:pPr>
      <w:r w:rsidRPr="00332326">
        <w:rPr>
          <w:bCs/>
        </w:rPr>
        <w:t>NPIF provided for additional spending in areas that are key to boosting productivity: transport, digital communications, research and development, and housing. There was net slipped delivery across the NPIF projects of -£0.257m due to resource issues, which is now expected to be delivered in 2022/23 which will mark the completion of the spend.</w:t>
      </w:r>
    </w:p>
    <w:p w14:paraId="71576A38" w14:textId="77777777" w:rsidR="00BD2082" w:rsidRPr="003C209C" w:rsidRDefault="00BD2082" w:rsidP="00BD2082">
      <w:pPr>
        <w:spacing w:after="0"/>
        <w:rPr>
          <w:b/>
        </w:rPr>
      </w:pPr>
    </w:p>
    <w:bookmarkEnd w:id="15"/>
    <w:bookmarkEnd w:id="16"/>
    <w:p w14:paraId="4192E50C" w14:textId="77777777" w:rsidR="00BD2082" w:rsidRPr="003C209C" w:rsidRDefault="00162F2E" w:rsidP="00BD2082">
      <w:pPr>
        <w:spacing w:after="0"/>
        <w:rPr>
          <w:b/>
        </w:rPr>
      </w:pPr>
      <w:r w:rsidRPr="003C209C">
        <w:rPr>
          <w:b/>
        </w:rPr>
        <w:t xml:space="preserve">Burnley Pendle </w:t>
      </w:r>
      <w:r>
        <w:rPr>
          <w:b/>
        </w:rPr>
        <w:t>g</w:t>
      </w:r>
      <w:r w:rsidRPr="003C209C">
        <w:rPr>
          <w:b/>
        </w:rPr>
        <w:t xml:space="preserve">rowth </w:t>
      </w:r>
      <w:r>
        <w:rPr>
          <w:b/>
        </w:rPr>
        <w:t>c</w:t>
      </w:r>
      <w:r w:rsidRPr="003C209C">
        <w:rPr>
          <w:b/>
        </w:rPr>
        <w:t>orridor</w:t>
      </w:r>
    </w:p>
    <w:p w14:paraId="3B69DD31" w14:textId="77777777" w:rsidR="00BD2082" w:rsidRDefault="00162F2E" w:rsidP="00BD2082">
      <w:pPr>
        <w:spacing w:after="0"/>
        <w:rPr>
          <w:bCs/>
        </w:rPr>
      </w:pPr>
      <w:r w:rsidRPr="003C209C">
        <w:rPr>
          <w:bCs/>
        </w:rPr>
        <w:t xml:space="preserve">The Burnley Pendle </w:t>
      </w:r>
      <w:r>
        <w:rPr>
          <w:bCs/>
        </w:rPr>
        <w:t>g</w:t>
      </w:r>
      <w:r w:rsidRPr="003C209C">
        <w:rPr>
          <w:bCs/>
        </w:rPr>
        <w:t xml:space="preserve">rowth </w:t>
      </w:r>
      <w:r>
        <w:rPr>
          <w:bCs/>
        </w:rPr>
        <w:t>c</w:t>
      </w:r>
      <w:r w:rsidRPr="003C209C">
        <w:rPr>
          <w:bCs/>
        </w:rPr>
        <w:t xml:space="preserve">orridor </w:t>
      </w:r>
      <w:r>
        <w:rPr>
          <w:bCs/>
        </w:rPr>
        <w:t>i</w:t>
      </w:r>
      <w:r w:rsidRPr="003C209C">
        <w:rPr>
          <w:bCs/>
        </w:rPr>
        <w:t xml:space="preserve">nvestment </w:t>
      </w:r>
      <w:r>
        <w:rPr>
          <w:bCs/>
        </w:rPr>
        <w:t>p</w:t>
      </w:r>
      <w:r w:rsidRPr="003C209C">
        <w:rPr>
          <w:bCs/>
        </w:rPr>
        <w:t xml:space="preserve">rogramme is a key priority for the East Lancashire </w:t>
      </w:r>
      <w:r>
        <w:rPr>
          <w:bCs/>
        </w:rPr>
        <w:t>h</w:t>
      </w:r>
      <w:r w:rsidRPr="003C209C">
        <w:rPr>
          <w:bCs/>
        </w:rPr>
        <w:t xml:space="preserve">ighways and </w:t>
      </w:r>
      <w:r>
        <w:rPr>
          <w:bCs/>
        </w:rPr>
        <w:t>transport m</w:t>
      </w:r>
      <w:r w:rsidRPr="003C209C">
        <w:rPr>
          <w:bCs/>
        </w:rPr>
        <w:t>asterplan. It is a collaborative agreement including Burnley, Pendle and Hyndburn Councils.  The scheme is now coming to a close</w:t>
      </w:r>
      <w:r>
        <w:rPr>
          <w:bCs/>
        </w:rPr>
        <w:t xml:space="preserve"> with only</w:t>
      </w:r>
      <w:r w:rsidRPr="003C209C">
        <w:rPr>
          <w:bCs/>
        </w:rPr>
        <w:t xml:space="preserve"> £0.129</w:t>
      </w:r>
      <w:r>
        <w:rPr>
          <w:bCs/>
        </w:rPr>
        <w:t xml:space="preserve">m of spend in </w:t>
      </w:r>
      <w:r w:rsidRPr="003C209C">
        <w:rPr>
          <w:bCs/>
        </w:rPr>
        <w:t>2021</w:t>
      </w:r>
      <w:r>
        <w:rPr>
          <w:bCs/>
        </w:rPr>
        <w:t>/22</w:t>
      </w:r>
      <w:r w:rsidRPr="003C209C">
        <w:rPr>
          <w:bCs/>
        </w:rPr>
        <w:t xml:space="preserve">. </w:t>
      </w:r>
      <w:r>
        <w:rPr>
          <w:bCs/>
        </w:rPr>
        <w:t>Any remaining works in the programme are expected to be completed in 2022/23 following delays on one element of the programme due to land availability, and current forecasts show there are o</w:t>
      </w:r>
      <w:r w:rsidRPr="003C209C">
        <w:rPr>
          <w:bCs/>
        </w:rPr>
        <w:t xml:space="preserve">verall potential savings of </w:t>
      </w:r>
      <w:r>
        <w:rPr>
          <w:bCs/>
        </w:rPr>
        <w:t>-</w:t>
      </w:r>
      <w:r w:rsidRPr="003C209C">
        <w:rPr>
          <w:bCs/>
        </w:rPr>
        <w:t xml:space="preserve">£0.807m. </w:t>
      </w:r>
    </w:p>
    <w:p w14:paraId="675786DA" w14:textId="77777777" w:rsidR="00BD2082" w:rsidRPr="003C209C" w:rsidRDefault="00BD2082" w:rsidP="00BD2082">
      <w:pPr>
        <w:spacing w:after="0"/>
        <w:rPr>
          <w:bCs/>
        </w:rPr>
      </w:pPr>
    </w:p>
    <w:p w14:paraId="23DD422C" w14:textId="77777777" w:rsidR="00BD2082" w:rsidRPr="003C209C" w:rsidRDefault="00162F2E" w:rsidP="00BD2082">
      <w:pPr>
        <w:spacing w:after="0"/>
        <w:rPr>
          <w:b/>
        </w:rPr>
      </w:pPr>
      <w:r w:rsidRPr="003C209C">
        <w:rPr>
          <w:b/>
        </w:rPr>
        <w:t>Skelmersdale Rail Link</w:t>
      </w:r>
    </w:p>
    <w:p w14:paraId="7A4057D0" w14:textId="77777777" w:rsidR="00BD2082" w:rsidRDefault="00162F2E" w:rsidP="00BD2082">
      <w:pPr>
        <w:spacing w:after="0"/>
        <w:rPr>
          <w:bCs/>
        </w:rPr>
      </w:pPr>
      <w:r w:rsidRPr="003C209C">
        <w:rPr>
          <w:bCs/>
        </w:rPr>
        <w:t>The demolition of Newcastle Colleges Group buildings, in anticipation of a potential new rail link to Skelmersdale, was completed within the year and recorded actuals of £1.203 for 2021</w:t>
      </w:r>
      <w:r>
        <w:rPr>
          <w:bCs/>
        </w:rPr>
        <w:t>/</w:t>
      </w:r>
      <w:r w:rsidRPr="003C209C">
        <w:rPr>
          <w:bCs/>
        </w:rPr>
        <w:t xml:space="preserve">22. A further £0.050m, £0.025m of additional </w:t>
      </w:r>
      <w:r w:rsidRPr="003C209C">
        <w:rPr>
          <w:bCs/>
        </w:rPr>
        <w:lastRenderedPageBreak/>
        <w:t xml:space="preserve">delivery, was incurred completing the Grip 3 </w:t>
      </w:r>
      <w:r>
        <w:rPr>
          <w:bCs/>
        </w:rPr>
        <w:t>r</w:t>
      </w:r>
      <w:r w:rsidRPr="003C209C">
        <w:rPr>
          <w:bCs/>
        </w:rPr>
        <w:t xml:space="preserve">eport (Governance for Railway Investment Projects) which will allow consideration of the viability of undertaking the full scheme by the stakeholders involved. </w:t>
      </w:r>
    </w:p>
    <w:p w14:paraId="1175D1DB" w14:textId="77777777" w:rsidR="00BD2082" w:rsidRPr="003C209C" w:rsidRDefault="00BD2082" w:rsidP="00BD2082">
      <w:pPr>
        <w:spacing w:after="0"/>
        <w:rPr>
          <w:bCs/>
        </w:rPr>
      </w:pPr>
    </w:p>
    <w:p w14:paraId="70008BCF" w14:textId="77777777" w:rsidR="00BD2082" w:rsidRPr="003C209C" w:rsidRDefault="00162F2E" w:rsidP="00BD2082">
      <w:pPr>
        <w:spacing w:after="0"/>
        <w:rPr>
          <w:b/>
        </w:rPr>
      </w:pPr>
      <w:r w:rsidRPr="003C209C">
        <w:rPr>
          <w:b/>
        </w:rPr>
        <w:t xml:space="preserve">M55 </w:t>
      </w:r>
      <w:r>
        <w:rPr>
          <w:b/>
        </w:rPr>
        <w:t xml:space="preserve">Heyhouses </w:t>
      </w:r>
      <w:r w:rsidRPr="003C209C">
        <w:rPr>
          <w:b/>
        </w:rPr>
        <w:t>Link Road</w:t>
      </w:r>
    </w:p>
    <w:p w14:paraId="60006874" w14:textId="77777777" w:rsidR="00BD2082" w:rsidRDefault="00162F2E" w:rsidP="00BD2082">
      <w:pPr>
        <w:spacing w:after="0"/>
        <w:rPr>
          <w:bCs/>
        </w:rPr>
      </w:pPr>
      <w:r w:rsidRPr="003C209C">
        <w:rPr>
          <w:bCs/>
        </w:rPr>
        <w:t xml:space="preserve">This is a large project spanning a number of years funded by a number of different </w:t>
      </w:r>
      <w:r>
        <w:rPr>
          <w:bCs/>
        </w:rPr>
        <w:t>g</w:t>
      </w:r>
      <w:r w:rsidRPr="003C209C">
        <w:rPr>
          <w:bCs/>
        </w:rPr>
        <w:t>rants and contributions.</w:t>
      </w:r>
      <w:r>
        <w:rPr>
          <w:bCs/>
        </w:rPr>
        <w:t xml:space="preserve"> In 2021/22, an additional delivery variance of £0.225m is reported. </w:t>
      </w:r>
      <w:r w:rsidRPr="003C209C">
        <w:rPr>
          <w:bCs/>
        </w:rPr>
        <w:t>Construction is forecast to increase substantially throughout 2022</w:t>
      </w:r>
      <w:r>
        <w:rPr>
          <w:bCs/>
        </w:rPr>
        <w:t>/</w:t>
      </w:r>
      <w:r w:rsidRPr="003C209C">
        <w:rPr>
          <w:bCs/>
        </w:rPr>
        <w:t xml:space="preserve">23 to ensure full use is made of time limited </w:t>
      </w:r>
      <w:r>
        <w:rPr>
          <w:bCs/>
        </w:rPr>
        <w:t>g</w:t>
      </w:r>
      <w:r w:rsidRPr="003C209C">
        <w:rPr>
          <w:bCs/>
        </w:rPr>
        <w:t xml:space="preserve">rants available. </w:t>
      </w:r>
    </w:p>
    <w:p w14:paraId="0AB4057B" w14:textId="77777777" w:rsidR="00BD2082" w:rsidRPr="003C209C" w:rsidRDefault="00BD2082" w:rsidP="00BD2082">
      <w:pPr>
        <w:spacing w:after="0"/>
        <w:rPr>
          <w:bCs/>
        </w:rPr>
      </w:pPr>
    </w:p>
    <w:p w14:paraId="37430345" w14:textId="77777777" w:rsidR="00BD2082" w:rsidRPr="00835161" w:rsidRDefault="00162F2E" w:rsidP="00BD2082">
      <w:pPr>
        <w:spacing w:after="0"/>
        <w:rPr>
          <w:b/>
        </w:rPr>
      </w:pPr>
      <w:r w:rsidRPr="00835161">
        <w:rPr>
          <w:b/>
        </w:rPr>
        <w:t>Burnley Town Centre Improvements</w:t>
      </w:r>
    </w:p>
    <w:p w14:paraId="20E141C3" w14:textId="77777777" w:rsidR="00BD2082" w:rsidRPr="003C209C" w:rsidRDefault="00162F2E" w:rsidP="00BD2082">
      <w:pPr>
        <w:spacing w:after="0"/>
        <w:rPr>
          <w:bCs/>
        </w:rPr>
      </w:pPr>
      <w:r w:rsidRPr="003C209C">
        <w:rPr>
          <w:bCs/>
        </w:rPr>
        <w:t>A delivery plan of £0.940m was established in 2021</w:t>
      </w:r>
      <w:r>
        <w:rPr>
          <w:bCs/>
        </w:rPr>
        <w:t>/</w:t>
      </w:r>
      <w:r w:rsidRPr="003C209C">
        <w:rPr>
          <w:bCs/>
        </w:rPr>
        <w:t>22 for developments at Lower St James Street and Pioneer Place, a series of public realm improvements which form part of a wider scheme to regenerate the area</w:t>
      </w:r>
      <w:r>
        <w:rPr>
          <w:bCs/>
        </w:rPr>
        <w:t>.</w:t>
      </w:r>
      <w:r w:rsidRPr="003C209C">
        <w:rPr>
          <w:bCs/>
        </w:rPr>
        <w:t xml:space="preserve"> </w:t>
      </w:r>
      <w:r>
        <w:rPr>
          <w:bCs/>
        </w:rPr>
        <w:t>Prior year delays on the works on Lower St James caused delays to the start of the work on the Pioneer Place project. Work has slipped on this project into 2022/23 causing a variance of -£0/700m.</w:t>
      </w:r>
      <w:r w:rsidRPr="003C209C">
        <w:rPr>
          <w:bCs/>
        </w:rPr>
        <w:t xml:space="preserve"> </w:t>
      </w:r>
    </w:p>
    <w:p w14:paraId="7CA4AB8E" w14:textId="77777777" w:rsidR="00BD2082" w:rsidRDefault="00BD2082" w:rsidP="00BD2082">
      <w:pPr>
        <w:spacing w:after="0"/>
        <w:rPr>
          <w:b/>
        </w:rPr>
      </w:pPr>
      <w:bookmarkStart w:id="17" w:name="_Hlk101442603"/>
    </w:p>
    <w:p w14:paraId="54565EFF" w14:textId="77777777" w:rsidR="00BD2082" w:rsidRPr="00835161" w:rsidRDefault="00162F2E" w:rsidP="00BD2082">
      <w:pPr>
        <w:spacing w:after="0"/>
        <w:rPr>
          <w:b/>
        </w:rPr>
      </w:pPr>
      <w:r w:rsidRPr="00835161">
        <w:rPr>
          <w:b/>
        </w:rPr>
        <w:t>Heysham</w:t>
      </w:r>
    </w:p>
    <w:p w14:paraId="10873295" w14:textId="77777777" w:rsidR="00BD2082" w:rsidRDefault="00162F2E" w:rsidP="00BD2082">
      <w:pPr>
        <w:spacing w:after="0"/>
        <w:rPr>
          <w:bCs/>
        </w:rPr>
      </w:pPr>
      <w:r w:rsidRPr="00332326">
        <w:rPr>
          <w:bCs/>
        </w:rPr>
        <w:t xml:space="preserve">A delivery budget of £0.784m is in place for 2021/22 to cover </w:t>
      </w:r>
      <w:r>
        <w:rPr>
          <w:bCs/>
        </w:rPr>
        <w:t xml:space="preserve">residual </w:t>
      </w:r>
      <w:r w:rsidRPr="00332326">
        <w:rPr>
          <w:bCs/>
        </w:rPr>
        <w:t>work and settling numerous claims for land adversely affected by the programme.  These claims plus the linked legal cost incurred caused an in year overspend of £0.923m. Further funding is to be approved</w:t>
      </w:r>
      <w:r>
        <w:rPr>
          <w:bCs/>
        </w:rPr>
        <w:t xml:space="preserve"> in 2022/23</w:t>
      </w:r>
      <w:r w:rsidRPr="00332326">
        <w:rPr>
          <w:bCs/>
        </w:rPr>
        <w:t xml:space="preserve"> to cover the final</w:t>
      </w:r>
      <w:r>
        <w:rPr>
          <w:bCs/>
        </w:rPr>
        <w:t xml:space="preserve"> estimated land compensation</w:t>
      </w:r>
      <w:r w:rsidRPr="00332326">
        <w:rPr>
          <w:bCs/>
        </w:rPr>
        <w:t xml:space="preserve"> costs.</w:t>
      </w:r>
    </w:p>
    <w:p w14:paraId="2DAC3EB8" w14:textId="77777777" w:rsidR="00BD2082" w:rsidRPr="003C209C" w:rsidRDefault="00BD2082" w:rsidP="00BD2082">
      <w:pPr>
        <w:spacing w:after="0"/>
        <w:rPr>
          <w:bCs/>
        </w:rPr>
      </w:pPr>
    </w:p>
    <w:bookmarkEnd w:id="17"/>
    <w:p w14:paraId="43EEE259" w14:textId="77777777" w:rsidR="00BD2082" w:rsidRPr="00264D6C" w:rsidRDefault="00162F2E" w:rsidP="00BD2082">
      <w:pPr>
        <w:spacing w:after="0"/>
        <w:rPr>
          <w:b/>
        </w:rPr>
      </w:pPr>
      <w:r w:rsidRPr="00264D6C">
        <w:rPr>
          <w:b/>
        </w:rPr>
        <w:t>Lancashire Safer Travel Restart</w:t>
      </w:r>
    </w:p>
    <w:p w14:paraId="3E6E5171" w14:textId="77777777" w:rsidR="00BD2082" w:rsidRDefault="00162F2E" w:rsidP="00BD2082">
      <w:pPr>
        <w:spacing w:after="0"/>
        <w:rPr>
          <w:bCs/>
        </w:rPr>
      </w:pPr>
      <w:r w:rsidRPr="003C209C">
        <w:rPr>
          <w:bCs/>
        </w:rPr>
        <w:t>Lancashire was awarded £3.501m of a £250m emergency fund for Covid recovery. This was to be utilised initially for instant schemes reallocating road space for pop-up bike lanes, wider pavements, cycle, and bus-only streets and their eventual adoption for permanent change if successful. The inclusion of the new scheme on Penwortham Brow, part of the Penwortham to Preston Cycle Superhighway was added to the Programme and its completion helped create £0.634m of additional delivery in 2021</w:t>
      </w:r>
      <w:r>
        <w:rPr>
          <w:bCs/>
        </w:rPr>
        <w:t>/</w:t>
      </w:r>
      <w:r w:rsidRPr="003C209C">
        <w:rPr>
          <w:bCs/>
        </w:rPr>
        <w:t>22 against the delivery budget of £0.091m</w:t>
      </w:r>
      <w:r>
        <w:rPr>
          <w:bCs/>
        </w:rPr>
        <w:t>.</w:t>
      </w:r>
    </w:p>
    <w:p w14:paraId="29371F1D" w14:textId="77777777" w:rsidR="00BD2082" w:rsidRPr="003C209C" w:rsidRDefault="00162F2E" w:rsidP="00BD2082">
      <w:pPr>
        <w:spacing w:after="0"/>
        <w:rPr>
          <w:bCs/>
        </w:rPr>
      </w:pPr>
      <w:r w:rsidRPr="003C209C">
        <w:rPr>
          <w:bCs/>
        </w:rPr>
        <w:t xml:space="preserve"> </w:t>
      </w:r>
    </w:p>
    <w:p w14:paraId="42B164D1" w14:textId="77777777" w:rsidR="00BD2082" w:rsidRPr="00264D6C" w:rsidRDefault="00162F2E" w:rsidP="00BD2082">
      <w:pPr>
        <w:spacing w:after="0"/>
        <w:rPr>
          <w:b/>
        </w:rPr>
      </w:pPr>
      <w:r w:rsidRPr="00264D6C">
        <w:rPr>
          <w:b/>
        </w:rPr>
        <w:t xml:space="preserve">Cycling schemes </w:t>
      </w:r>
    </w:p>
    <w:p w14:paraId="2A757221" w14:textId="77777777" w:rsidR="00BD2082" w:rsidRDefault="00162F2E" w:rsidP="00BD2082">
      <w:pPr>
        <w:spacing w:after="0"/>
        <w:rPr>
          <w:bCs/>
        </w:rPr>
      </w:pPr>
      <w:r w:rsidRPr="003C209C">
        <w:rPr>
          <w:bCs/>
        </w:rPr>
        <w:t>During the year improvements on the £0.099m Golden Hill Way Chapel Brow project were put on hold as South Ribble Council are undertaking similar work which has resulted in a</w:t>
      </w:r>
      <w:r>
        <w:rPr>
          <w:bCs/>
        </w:rPr>
        <w:t>n underspend</w:t>
      </w:r>
      <w:r w:rsidRPr="003C209C">
        <w:rPr>
          <w:bCs/>
        </w:rPr>
        <w:t xml:space="preserve"> of </w:t>
      </w:r>
      <w:r>
        <w:rPr>
          <w:bCs/>
        </w:rPr>
        <w:t>-</w:t>
      </w:r>
      <w:r w:rsidRPr="003C209C">
        <w:rPr>
          <w:bCs/>
        </w:rPr>
        <w:t>£0.091m</w:t>
      </w:r>
      <w:r>
        <w:rPr>
          <w:bCs/>
        </w:rPr>
        <w:t xml:space="preserve"> in the programme</w:t>
      </w:r>
      <w:r w:rsidRPr="003C209C">
        <w:rPr>
          <w:bCs/>
        </w:rPr>
        <w:t xml:space="preserve">.  It was agreed that budget from a number of cancelled schemes would be repurposed to fund a new larger project on Clifton </w:t>
      </w:r>
      <w:r>
        <w:rPr>
          <w:bCs/>
        </w:rPr>
        <w:t>Drive causing an additional delivery variance of £0.444m.</w:t>
      </w:r>
    </w:p>
    <w:p w14:paraId="76A82B69" w14:textId="77777777" w:rsidR="00BD2082" w:rsidRPr="003C209C" w:rsidRDefault="00162F2E" w:rsidP="00BD2082">
      <w:pPr>
        <w:spacing w:after="0"/>
        <w:rPr>
          <w:bCs/>
        </w:rPr>
      </w:pPr>
      <w:r w:rsidRPr="003C209C">
        <w:rPr>
          <w:bCs/>
        </w:rPr>
        <w:t xml:space="preserve"> </w:t>
      </w:r>
    </w:p>
    <w:p w14:paraId="2C9649AA" w14:textId="77777777" w:rsidR="00BD2082" w:rsidRPr="00264D6C" w:rsidRDefault="00162F2E" w:rsidP="00BD2082">
      <w:pPr>
        <w:spacing w:after="0"/>
        <w:rPr>
          <w:b/>
        </w:rPr>
      </w:pPr>
      <w:r w:rsidRPr="00264D6C">
        <w:rPr>
          <w:b/>
        </w:rPr>
        <w:t>Ormskirk Rail to Bus / Town Centre</w:t>
      </w:r>
    </w:p>
    <w:p w14:paraId="1C94D59A" w14:textId="77777777" w:rsidR="00BD2082" w:rsidRPr="003C209C" w:rsidRDefault="00162F2E" w:rsidP="00BD2082">
      <w:pPr>
        <w:spacing w:after="0"/>
        <w:rPr>
          <w:bCs/>
        </w:rPr>
      </w:pPr>
      <w:r w:rsidRPr="003C209C">
        <w:rPr>
          <w:bCs/>
        </w:rPr>
        <w:t>This project along with the work at Ormskirk Bus Station have been incorporated in a larger new programme, the Eastern Gateway, a partnership between Lancashire County Council, West Lancashire Borough Council and Historic England to make a number of major improvements to Ormskirk town centre.</w:t>
      </w:r>
      <w:r>
        <w:rPr>
          <w:bCs/>
        </w:rPr>
        <w:t xml:space="preserve"> A</w:t>
      </w:r>
      <w:r w:rsidRPr="003C209C">
        <w:rPr>
          <w:bCs/>
        </w:rPr>
        <w:t xml:space="preserve">dditional delivery of £0.272m was </w:t>
      </w:r>
      <w:r>
        <w:rPr>
          <w:bCs/>
        </w:rPr>
        <w:t>realised in 2021/22 due to the new agreement, with</w:t>
      </w:r>
      <w:r w:rsidRPr="003C209C">
        <w:rPr>
          <w:bCs/>
        </w:rPr>
        <w:t xml:space="preserve"> the change in scope see</w:t>
      </w:r>
      <w:r>
        <w:rPr>
          <w:bCs/>
        </w:rPr>
        <w:t>ing</w:t>
      </w:r>
      <w:r w:rsidRPr="003C209C">
        <w:rPr>
          <w:bCs/>
        </w:rPr>
        <w:t xml:space="preserve"> a further £1.996m added to the budget over the next two years. </w:t>
      </w:r>
    </w:p>
    <w:p w14:paraId="14D33C6E" w14:textId="77777777" w:rsidR="00BD2082" w:rsidRDefault="00BD2082" w:rsidP="00BD2082">
      <w:pPr>
        <w:spacing w:after="0"/>
        <w:rPr>
          <w:highlight w:val="yellow"/>
        </w:rPr>
      </w:pPr>
    </w:p>
    <w:p w14:paraId="06C20661" w14:textId="77777777" w:rsidR="00B61F72" w:rsidRDefault="00B61F72" w:rsidP="00BD2082">
      <w:pPr>
        <w:spacing w:after="0"/>
        <w:rPr>
          <w:highlight w:val="yellow"/>
        </w:rPr>
      </w:pPr>
    </w:p>
    <w:p w14:paraId="5C7B767A" w14:textId="77777777" w:rsidR="00B61F72" w:rsidRPr="00737295" w:rsidRDefault="00B61F72" w:rsidP="00BD2082">
      <w:pPr>
        <w:spacing w:after="0"/>
        <w:rPr>
          <w:highlight w:val="yellow"/>
        </w:rPr>
      </w:pPr>
    </w:p>
    <w:p w14:paraId="077D0BDA" w14:textId="77777777" w:rsidR="00767B08" w:rsidRDefault="00162F2E" w:rsidP="00767B08">
      <w:pPr>
        <w:spacing w:after="0"/>
        <w:rPr>
          <w:b/>
        </w:rPr>
      </w:pPr>
      <w:r w:rsidRPr="00332326">
        <w:rPr>
          <w:b/>
        </w:rPr>
        <w:lastRenderedPageBreak/>
        <w:t xml:space="preserve">Externally Funded </w:t>
      </w:r>
    </w:p>
    <w:p w14:paraId="633C6264" w14:textId="77777777" w:rsidR="00767B08" w:rsidRPr="00332326" w:rsidRDefault="00767B08" w:rsidP="00767B08">
      <w:pPr>
        <w:spacing w:after="0"/>
        <w:rPr>
          <w:b/>
        </w:rPr>
      </w:pPr>
    </w:p>
    <w:p w14:paraId="1E977903" w14:textId="77777777" w:rsidR="00767B08" w:rsidRDefault="00162F2E" w:rsidP="00767B08">
      <w:pPr>
        <w:spacing w:after="0"/>
        <w:rPr>
          <w:rFonts w:cstheme="minorHAnsi"/>
          <w:b/>
        </w:rPr>
      </w:pPr>
      <w:r w:rsidRPr="00332326">
        <w:rPr>
          <w:rFonts w:cstheme="minorHAnsi"/>
          <w:b/>
        </w:rPr>
        <w:t>The Externally Funded capital programme has a 2021/22 delivery plan of £7.432m. The final outturn position is £6.712m, a variance of -£0.720m.</w:t>
      </w:r>
    </w:p>
    <w:p w14:paraId="340A2409" w14:textId="77777777" w:rsidR="00767B08" w:rsidRPr="00332326" w:rsidRDefault="00162F2E" w:rsidP="00767B08">
      <w:pPr>
        <w:spacing w:after="0"/>
        <w:rPr>
          <w:rFonts w:cstheme="minorHAnsi"/>
          <w:b/>
        </w:rPr>
      </w:pPr>
      <w:r w:rsidRPr="00332326">
        <w:rPr>
          <w:rFonts w:cstheme="minorHAnsi"/>
          <w:b/>
        </w:rPr>
        <w:t xml:space="preserve">  </w:t>
      </w:r>
    </w:p>
    <w:p w14:paraId="04152CBD" w14:textId="77777777" w:rsidR="00767B08" w:rsidRDefault="00162F2E" w:rsidP="00767B08">
      <w:pPr>
        <w:spacing w:after="0"/>
      </w:pPr>
      <w:r>
        <w:t>The S278 Padiham THI project has slipped delivery of -£0.261m. Works on this project to provide a high quality paving shared space scheme have experienced delays on street furniture delivery due to supplier issues. The scheme is now 90% of the way through construction and is expected to be completed in early 2022/23</w:t>
      </w:r>
    </w:p>
    <w:p w14:paraId="3B61FC5E" w14:textId="77777777" w:rsidR="00767B08" w:rsidRDefault="00162F2E" w:rsidP="00767B08">
      <w:pPr>
        <w:spacing w:after="0"/>
      </w:pPr>
      <w:r>
        <w:t>Whalley town centre footway and bus stop improvements project has slippage of -£0.094m. This project has seen delays due to unforeseen circumstances (thick reinforced concrete taking a long time to break out). As such, the works will now be on site until mid-late June and the scheme is due to be completed in 2022/23.</w:t>
      </w:r>
    </w:p>
    <w:p w14:paraId="391B7458" w14:textId="6CAD82CF" w:rsidR="00767B08" w:rsidRDefault="00162F2E" w:rsidP="00767B08">
      <w:pPr>
        <w:spacing w:after="0"/>
      </w:pPr>
      <w:r>
        <w:t>S278 A584 Lytham Rd/Church Rd highway works has slippage of -£0.085m where statutory undertaker diversions were delayed starting on site due to resources being unavailable.</w:t>
      </w:r>
    </w:p>
    <w:p w14:paraId="57803A3B" w14:textId="77777777" w:rsidR="00642D26" w:rsidRDefault="00642D26" w:rsidP="00767B08">
      <w:pPr>
        <w:spacing w:after="0"/>
      </w:pPr>
    </w:p>
    <w:p w14:paraId="6D4B37C5" w14:textId="77777777" w:rsidR="00767B08" w:rsidRDefault="00162F2E" w:rsidP="00767B08">
      <w:pPr>
        <w:spacing w:after="0"/>
      </w:pPr>
      <w:r>
        <w:t>S106 Rosslyn Avenue, Preesall has slippage of -£0.071m caused from system issues not allowing purchase orders to be raised, a delayed start for a team to be allocated to the project and delays following valid concerns raised during consultation.</w:t>
      </w:r>
    </w:p>
    <w:p w14:paraId="79A77EAB" w14:textId="77777777" w:rsidR="00767B08" w:rsidRDefault="00767B08" w:rsidP="00767B08">
      <w:pPr>
        <w:spacing w:after="0"/>
      </w:pPr>
    </w:p>
    <w:p w14:paraId="29B35AF0" w14:textId="77777777" w:rsidR="00767B08" w:rsidRDefault="00162F2E" w:rsidP="00767B08">
      <w:pPr>
        <w:spacing w:after="0"/>
      </w:pPr>
      <w:r>
        <w:t>Further slippage across a number of projects of -£0.137m are due to design issues and as such these projects are now scheduled to have works in 2022/23.</w:t>
      </w:r>
    </w:p>
    <w:p w14:paraId="60B4638E" w14:textId="77777777" w:rsidR="00767B08" w:rsidRDefault="00767B08" w:rsidP="00767B08">
      <w:pPr>
        <w:spacing w:after="0"/>
      </w:pPr>
    </w:p>
    <w:p w14:paraId="035C2B89" w14:textId="77777777" w:rsidR="00767B08" w:rsidRDefault="00162F2E" w:rsidP="00767B08">
      <w:pPr>
        <w:spacing w:after="0"/>
      </w:pPr>
      <w:r>
        <w:t>There is an underspend on the Eastway phase 2 S278 works scheme of -£0.042m where the project is now complete and the developer is to be refunded.</w:t>
      </w:r>
    </w:p>
    <w:p w14:paraId="01FEDE4C" w14:textId="77777777" w:rsidR="00767B08" w:rsidRDefault="00767B08" w:rsidP="00767B08">
      <w:pPr>
        <w:spacing w:after="0"/>
      </w:pPr>
    </w:p>
    <w:p w14:paraId="29A2AD94" w14:textId="77777777" w:rsidR="00767B08" w:rsidRDefault="00162F2E" w:rsidP="00767B08">
      <w:pPr>
        <w:spacing w:after="0"/>
      </w:pPr>
      <w:r>
        <w:t xml:space="preserve">There is additional delivery totalling £0.062m and a forecast </w:t>
      </w:r>
      <w:r w:rsidRPr="002109ED">
        <w:t>overspend of £0.009m. Further funding is being sought to finance the potential overspend.</w:t>
      </w:r>
      <w:r>
        <w:t xml:space="preserve"> </w:t>
      </w:r>
    </w:p>
    <w:p w14:paraId="60E9C16F" w14:textId="77777777" w:rsidR="00767B08" w:rsidRDefault="00767B08" w:rsidP="00767B08">
      <w:pPr>
        <w:spacing w:after="0"/>
      </w:pPr>
    </w:p>
    <w:p w14:paraId="02AEB8C9" w14:textId="77777777" w:rsidR="00767B08" w:rsidRDefault="00162F2E" w:rsidP="00767B08">
      <w:pPr>
        <w:spacing w:after="0"/>
      </w:pPr>
      <w:r>
        <w:t>The additional delivery includes £0.016m on the S278 Blackpool Road, Kirkham scheme where design and tender works have started, with the remainder of works being delivered in 2022/23 and £0.013m on the UCLan Masterplan scheme, where main contract payments have now been agreed and closed, and it is expected that the construction contract can be delivered within budget.</w:t>
      </w:r>
    </w:p>
    <w:p w14:paraId="03F3BB5C" w14:textId="77777777" w:rsidR="00767B08" w:rsidRDefault="00767B08" w:rsidP="00767B08">
      <w:pPr>
        <w:spacing w:after="0"/>
        <w:rPr>
          <w:highlight w:val="yellow"/>
        </w:rPr>
      </w:pPr>
    </w:p>
    <w:p w14:paraId="38675EB7" w14:textId="77777777" w:rsidR="00767B08" w:rsidRDefault="00162F2E" w:rsidP="00767B08">
      <w:pPr>
        <w:spacing w:after="0"/>
        <w:rPr>
          <w:rFonts w:cstheme="minorHAnsi"/>
          <w:b/>
          <w:bCs/>
        </w:rPr>
      </w:pPr>
      <w:r w:rsidRPr="00332326">
        <w:rPr>
          <w:rFonts w:cstheme="minorHAnsi"/>
          <w:b/>
          <w:bCs/>
        </w:rPr>
        <w:t>Central Systems and ICT</w:t>
      </w:r>
    </w:p>
    <w:p w14:paraId="70A955FB" w14:textId="77777777" w:rsidR="00767B08" w:rsidRPr="00332326" w:rsidRDefault="00767B08" w:rsidP="00767B08">
      <w:pPr>
        <w:spacing w:after="0"/>
        <w:rPr>
          <w:rFonts w:cstheme="minorHAnsi"/>
          <w:b/>
          <w:bCs/>
        </w:rPr>
      </w:pPr>
    </w:p>
    <w:p w14:paraId="2B5461FD" w14:textId="77777777" w:rsidR="00767B08" w:rsidRPr="00EC3371" w:rsidRDefault="00162F2E" w:rsidP="00767B08">
      <w:pPr>
        <w:spacing w:after="0"/>
        <w:rPr>
          <w:rFonts w:cstheme="minorHAnsi"/>
          <w:b/>
          <w:bCs/>
        </w:rPr>
      </w:pPr>
      <w:r w:rsidRPr="00332326">
        <w:rPr>
          <w:rFonts w:cstheme="minorHAnsi"/>
          <w:b/>
          <w:bCs/>
        </w:rPr>
        <w:t>The Central Systems and ICT capital programme has a 2021/22 delivery plan of £12.656m. The final outturn position is £7.952m, a variance of -£4.704m.</w:t>
      </w:r>
      <w:r w:rsidRPr="00EC3371">
        <w:rPr>
          <w:rFonts w:cstheme="minorHAnsi"/>
          <w:b/>
          <w:bCs/>
        </w:rPr>
        <w:t xml:space="preserve">  </w:t>
      </w:r>
    </w:p>
    <w:p w14:paraId="5F3FFEA6" w14:textId="77777777" w:rsidR="00767B08" w:rsidRDefault="00767B08" w:rsidP="00767B08">
      <w:pPr>
        <w:spacing w:after="0"/>
        <w:rPr>
          <w:rFonts w:cstheme="minorHAnsi"/>
        </w:rPr>
      </w:pPr>
    </w:p>
    <w:p w14:paraId="35191B0B" w14:textId="77777777" w:rsidR="00767B08" w:rsidRDefault="00162F2E" w:rsidP="00767B08">
      <w:pPr>
        <w:spacing w:after="0"/>
        <w:rPr>
          <w:rFonts w:cstheme="minorHAnsi"/>
        </w:rPr>
      </w:pPr>
      <w:r w:rsidRPr="00EC3371">
        <w:rPr>
          <w:rFonts w:cstheme="minorHAnsi"/>
        </w:rPr>
        <w:t>Details of the main variances are as follows</w:t>
      </w:r>
      <w:r>
        <w:rPr>
          <w:rFonts w:cstheme="minorHAnsi"/>
        </w:rPr>
        <w:t>:</w:t>
      </w:r>
    </w:p>
    <w:p w14:paraId="1F2F4EB0" w14:textId="77777777" w:rsidR="00767B08" w:rsidRPr="00EC3371" w:rsidRDefault="00767B08" w:rsidP="00767B08">
      <w:pPr>
        <w:spacing w:after="0"/>
        <w:rPr>
          <w:rFonts w:cstheme="minorHAnsi"/>
        </w:rPr>
      </w:pPr>
    </w:p>
    <w:p w14:paraId="74EA79AB" w14:textId="77777777" w:rsidR="00767B08" w:rsidRDefault="00162F2E" w:rsidP="00767B08">
      <w:pPr>
        <w:spacing w:after="0"/>
        <w:rPr>
          <w:rFonts w:cstheme="minorHAnsi"/>
        </w:rPr>
      </w:pPr>
      <w:r w:rsidRPr="00EC3371">
        <w:rPr>
          <w:rFonts w:cstheme="minorHAnsi"/>
        </w:rPr>
        <w:t xml:space="preserve">Migration to Oracle Cloud from the current </w:t>
      </w:r>
      <w:r>
        <w:rPr>
          <w:rFonts w:cstheme="minorHAnsi"/>
        </w:rPr>
        <w:t>e</w:t>
      </w:r>
      <w:r w:rsidRPr="00EC3371">
        <w:rPr>
          <w:rFonts w:cstheme="minorHAnsi"/>
        </w:rPr>
        <w:t>-</w:t>
      </w:r>
      <w:r>
        <w:rPr>
          <w:rFonts w:cstheme="minorHAnsi"/>
        </w:rPr>
        <w:t>b</w:t>
      </w:r>
      <w:r w:rsidRPr="00EC3371">
        <w:rPr>
          <w:rFonts w:cstheme="minorHAnsi"/>
        </w:rPr>
        <w:t xml:space="preserve">usiness </w:t>
      </w:r>
      <w:r>
        <w:rPr>
          <w:rFonts w:cstheme="minorHAnsi"/>
        </w:rPr>
        <w:t>s</w:t>
      </w:r>
      <w:r w:rsidRPr="00EC3371">
        <w:rPr>
          <w:rFonts w:cstheme="minorHAnsi"/>
        </w:rPr>
        <w:t xml:space="preserve">uite Oracle </w:t>
      </w:r>
      <w:r>
        <w:rPr>
          <w:rFonts w:cstheme="minorHAnsi"/>
        </w:rPr>
        <w:t>p</w:t>
      </w:r>
      <w:r w:rsidRPr="00EC3371">
        <w:rPr>
          <w:rFonts w:cstheme="minorHAnsi"/>
        </w:rPr>
        <w:t>latform has slipped delivery of -£1.600m, along with the recently approved Oracle fusion contingency scheme which sees slippage of -£3.048m.</w:t>
      </w:r>
      <w:r>
        <w:rPr>
          <w:rFonts w:cstheme="minorHAnsi"/>
        </w:rPr>
        <w:t xml:space="preserve"> Though additional delivery budget was approved in February 2021 t</w:t>
      </w:r>
      <w:r w:rsidRPr="00EC3371">
        <w:rPr>
          <w:rFonts w:cstheme="minorHAnsi"/>
        </w:rPr>
        <w:t>here have been delays in completion of various technical components of the project which have led to supplier milestones being delayed for sign off</w:t>
      </w:r>
      <w:r>
        <w:rPr>
          <w:rFonts w:cstheme="minorHAnsi"/>
        </w:rPr>
        <w:t xml:space="preserve"> and this resulted in slipped delivery of the increased budget. </w:t>
      </w:r>
      <w:r w:rsidRPr="00EC3371">
        <w:rPr>
          <w:rFonts w:cstheme="minorHAnsi"/>
        </w:rPr>
        <w:t xml:space="preserve"> As payments are tied to key sign off points these have also been delayed. We expect the programme to be complete in the </w:t>
      </w:r>
      <w:r>
        <w:rPr>
          <w:rFonts w:cstheme="minorHAnsi"/>
        </w:rPr>
        <w:t>a</w:t>
      </w:r>
      <w:r w:rsidRPr="00EC3371">
        <w:rPr>
          <w:rFonts w:cstheme="minorHAnsi"/>
        </w:rPr>
        <w:t>utumn of 2022 and all expenditure to have been committed and paid by this point.</w:t>
      </w:r>
    </w:p>
    <w:p w14:paraId="624A9D1D" w14:textId="77777777" w:rsidR="00767B08" w:rsidRPr="00EC3371" w:rsidRDefault="00767B08" w:rsidP="00767B08">
      <w:pPr>
        <w:spacing w:after="0"/>
        <w:rPr>
          <w:rFonts w:cstheme="minorHAnsi"/>
        </w:rPr>
      </w:pPr>
    </w:p>
    <w:p w14:paraId="637A5573" w14:textId="77777777" w:rsidR="00767B08" w:rsidRDefault="00162F2E" w:rsidP="00767B08">
      <w:pPr>
        <w:spacing w:after="0"/>
        <w:rPr>
          <w:rFonts w:cstheme="minorHAnsi"/>
        </w:rPr>
      </w:pPr>
      <w:r w:rsidRPr="00EC3371">
        <w:rPr>
          <w:rFonts w:cstheme="minorHAnsi"/>
        </w:rPr>
        <w:t xml:space="preserve">The </w:t>
      </w:r>
      <w:r>
        <w:rPr>
          <w:rFonts w:cstheme="minorHAnsi"/>
        </w:rPr>
        <w:t>l</w:t>
      </w:r>
      <w:r w:rsidRPr="00EC3371">
        <w:rPr>
          <w:rFonts w:cstheme="minorHAnsi"/>
        </w:rPr>
        <w:t>ibraries ICT project has slippage of -£0.156m with no expenditure in year. Libraries were unable to obtain the equipment needed in year due to supply</w:t>
      </w:r>
      <w:r>
        <w:rPr>
          <w:rFonts w:cstheme="minorHAnsi"/>
        </w:rPr>
        <w:t xml:space="preserve"> issues</w:t>
      </w:r>
      <w:r w:rsidRPr="00EC3371">
        <w:rPr>
          <w:rFonts w:cstheme="minorHAnsi"/>
        </w:rPr>
        <w:t xml:space="preserve"> and so expenditure is now expected in 2022/23.</w:t>
      </w:r>
    </w:p>
    <w:p w14:paraId="672CF68A" w14:textId="77777777" w:rsidR="00767B08" w:rsidRPr="00EC3371" w:rsidRDefault="00767B08" w:rsidP="00767B08">
      <w:pPr>
        <w:spacing w:after="0"/>
        <w:rPr>
          <w:rFonts w:cstheme="minorHAnsi"/>
        </w:rPr>
      </w:pPr>
    </w:p>
    <w:p w14:paraId="42FAFD33" w14:textId="77777777" w:rsidR="00767B08" w:rsidRDefault="00162F2E" w:rsidP="00767B08">
      <w:pPr>
        <w:spacing w:after="0"/>
        <w:rPr>
          <w:rFonts w:cstheme="minorHAnsi"/>
        </w:rPr>
      </w:pPr>
      <w:r w:rsidRPr="00EC3371">
        <w:rPr>
          <w:rFonts w:cstheme="minorHAnsi"/>
        </w:rPr>
        <w:t xml:space="preserve">The Microsoft Office </w:t>
      </w:r>
      <w:r>
        <w:rPr>
          <w:rFonts w:cstheme="minorHAnsi"/>
        </w:rPr>
        <w:t>3</w:t>
      </w:r>
      <w:r w:rsidRPr="00EC3371">
        <w:rPr>
          <w:rFonts w:cstheme="minorHAnsi"/>
        </w:rPr>
        <w:t xml:space="preserve">65 project has slippage of -£0.063m following LCC receiving a credit from licenses which will be used </w:t>
      </w:r>
      <w:r>
        <w:rPr>
          <w:rFonts w:cstheme="minorHAnsi"/>
        </w:rPr>
        <w:t xml:space="preserve">in future years </w:t>
      </w:r>
      <w:r w:rsidRPr="00EC3371">
        <w:rPr>
          <w:rFonts w:cstheme="minorHAnsi"/>
        </w:rPr>
        <w:t xml:space="preserve">on implementation of extra functionality. </w:t>
      </w:r>
    </w:p>
    <w:p w14:paraId="31D06B0A" w14:textId="77777777" w:rsidR="00767B08" w:rsidRPr="00EC3371" w:rsidRDefault="00767B08" w:rsidP="00767B08">
      <w:pPr>
        <w:spacing w:after="0"/>
        <w:rPr>
          <w:rFonts w:cstheme="minorHAnsi"/>
        </w:rPr>
      </w:pPr>
    </w:p>
    <w:p w14:paraId="23A72C7C" w14:textId="77777777" w:rsidR="00767B08" w:rsidRPr="00216B69" w:rsidRDefault="00162F2E" w:rsidP="00767B08">
      <w:pPr>
        <w:spacing w:after="0"/>
        <w:rPr>
          <w:rFonts w:cstheme="minorHAnsi"/>
        </w:rPr>
      </w:pPr>
      <w:r w:rsidRPr="00EC3371">
        <w:rPr>
          <w:rFonts w:cstheme="minorHAnsi"/>
        </w:rPr>
        <w:t xml:space="preserve">Offsetting this is additional delivery on the </w:t>
      </w:r>
      <w:r>
        <w:rPr>
          <w:rFonts w:cstheme="minorHAnsi"/>
        </w:rPr>
        <w:t>n</w:t>
      </w:r>
      <w:r w:rsidRPr="00EC3371">
        <w:rPr>
          <w:rFonts w:cstheme="minorHAnsi"/>
        </w:rPr>
        <w:t xml:space="preserve">ew </w:t>
      </w:r>
      <w:r>
        <w:rPr>
          <w:rFonts w:cstheme="minorHAnsi"/>
        </w:rPr>
        <w:t>f</w:t>
      </w:r>
      <w:r w:rsidRPr="00EC3371">
        <w:rPr>
          <w:rFonts w:cstheme="minorHAnsi"/>
        </w:rPr>
        <w:t xml:space="preserve">leet </w:t>
      </w:r>
      <w:r>
        <w:rPr>
          <w:rFonts w:cstheme="minorHAnsi"/>
        </w:rPr>
        <w:t>m</w:t>
      </w:r>
      <w:r w:rsidRPr="00EC3371">
        <w:rPr>
          <w:rFonts w:cstheme="minorHAnsi"/>
        </w:rPr>
        <w:t xml:space="preserve">anagement </w:t>
      </w:r>
      <w:r>
        <w:rPr>
          <w:rFonts w:cstheme="minorHAnsi"/>
        </w:rPr>
        <w:t>s</w:t>
      </w:r>
      <w:r w:rsidRPr="00EC3371">
        <w:rPr>
          <w:rFonts w:cstheme="minorHAnsi"/>
        </w:rPr>
        <w:t xml:space="preserve">ystem project totalling £0.130m where money has been spent on a required replacement system, and additional delivery on the </w:t>
      </w:r>
      <w:r>
        <w:rPr>
          <w:rFonts w:cstheme="minorHAnsi"/>
        </w:rPr>
        <w:t>d</w:t>
      </w:r>
      <w:r w:rsidRPr="00EC3371">
        <w:rPr>
          <w:rFonts w:cstheme="minorHAnsi"/>
        </w:rPr>
        <w:t xml:space="preserve">ocument </w:t>
      </w:r>
      <w:r>
        <w:rPr>
          <w:rFonts w:cstheme="minorHAnsi"/>
        </w:rPr>
        <w:t>h</w:t>
      </w:r>
      <w:r w:rsidRPr="00EC3371">
        <w:rPr>
          <w:rFonts w:cstheme="minorHAnsi"/>
        </w:rPr>
        <w:t xml:space="preserve">andling </w:t>
      </w:r>
      <w:r>
        <w:rPr>
          <w:rFonts w:cstheme="minorHAnsi"/>
        </w:rPr>
        <w:t>s</w:t>
      </w:r>
      <w:r w:rsidRPr="00EC3371">
        <w:rPr>
          <w:rFonts w:cstheme="minorHAnsi"/>
        </w:rPr>
        <w:t xml:space="preserve">ervice </w:t>
      </w:r>
      <w:r>
        <w:rPr>
          <w:rFonts w:cstheme="minorHAnsi"/>
        </w:rPr>
        <w:t>r</w:t>
      </w:r>
      <w:r w:rsidRPr="00EC3371">
        <w:rPr>
          <w:rFonts w:cstheme="minorHAnsi"/>
        </w:rPr>
        <w:t xml:space="preserve">eplacement </w:t>
      </w:r>
      <w:r>
        <w:rPr>
          <w:rFonts w:cstheme="minorHAnsi"/>
        </w:rPr>
        <w:t>h</w:t>
      </w:r>
      <w:r w:rsidRPr="00EC3371">
        <w:rPr>
          <w:rFonts w:cstheme="minorHAnsi"/>
        </w:rPr>
        <w:t xml:space="preserve">ardware and </w:t>
      </w:r>
      <w:r>
        <w:rPr>
          <w:rFonts w:cstheme="minorHAnsi"/>
        </w:rPr>
        <w:t>n</w:t>
      </w:r>
      <w:r w:rsidRPr="00EC3371">
        <w:rPr>
          <w:rFonts w:cstheme="minorHAnsi"/>
        </w:rPr>
        <w:t xml:space="preserve">ew </w:t>
      </w:r>
      <w:r>
        <w:rPr>
          <w:rFonts w:cstheme="minorHAnsi"/>
        </w:rPr>
        <w:t>s</w:t>
      </w:r>
      <w:r w:rsidRPr="00EC3371">
        <w:rPr>
          <w:rFonts w:cstheme="minorHAnsi"/>
        </w:rPr>
        <w:t>oftware project totalling £0.023m on replacing printing and mail equipment.</w:t>
      </w:r>
    </w:p>
    <w:p w14:paraId="5F626052" w14:textId="77777777" w:rsidR="00767B08" w:rsidRPr="00737295" w:rsidRDefault="00767B08" w:rsidP="00767B08">
      <w:pPr>
        <w:spacing w:after="0"/>
        <w:rPr>
          <w:highlight w:val="yellow"/>
        </w:rPr>
      </w:pPr>
    </w:p>
    <w:p w14:paraId="5C160A5F" w14:textId="77777777" w:rsidR="00147403" w:rsidRDefault="00162F2E" w:rsidP="00147403">
      <w:pPr>
        <w:spacing w:after="0"/>
        <w:rPr>
          <w:b/>
        </w:rPr>
      </w:pPr>
      <w:r w:rsidRPr="00332326">
        <w:rPr>
          <w:b/>
        </w:rPr>
        <w:t>Adults Social Care (Adults)</w:t>
      </w:r>
    </w:p>
    <w:p w14:paraId="5498BD85" w14:textId="77777777" w:rsidR="00147403" w:rsidRPr="00332326" w:rsidRDefault="00147403" w:rsidP="00147403">
      <w:pPr>
        <w:spacing w:after="0"/>
        <w:rPr>
          <w:b/>
        </w:rPr>
      </w:pPr>
    </w:p>
    <w:p w14:paraId="02AB7D73" w14:textId="77777777" w:rsidR="00147403" w:rsidRDefault="00162F2E" w:rsidP="00147403">
      <w:pPr>
        <w:spacing w:after="0"/>
        <w:rPr>
          <w:rFonts w:cstheme="minorHAnsi"/>
          <w:b/>
        </w:rPr>
      </w:pPr>
      <w:r w:rsidRPr="00332326">
        <w:rPr>
          <w:rFonts w:cstheme="minorHAnsi"/>
          <w:b/>
        </w:rPr>
        <w:t xml:space="preserve">The Adults capital programme has a 2021/22 delivery plan of £17.313m. The final outturn position is £16.773m, a variance of -£0.540m. </w:t>
      </w:r>
    </w:p>
    <w:p w14:paraId="07F847FF" w14:textId="77777777" w:rsidR="00147403" w:rsidRPr="00332326" w:rsidRDefault="00162F2E" w:rsidP="00147403">
      <w:pPr>
        <w:spacing w:after="0"/>
        <w:rPr>
          <w:rFonts w:cstheme="minorHAnsi"/>
          <w:b/>
        </w:rPr>
      </w:pPr>
      <w:r w:rsidRPr="00332326">
        <w:rPr>
          <w:rFonts w:cstheme="minorHAnsi"/>
          <w:b/>
        </w:rPr>
        <w:t xml:space="preserve"> </w:t>
      </w:r>
    </w:p>
    <w:p w14:paraId="5AEEC35A" w14:textId="77777777" w:rsidR="00147403" w:rsidRDefault="00162F2E" w:rsidP="00147403">
      <w:pPr>
        <w:spacing w:after="0"/>
        <w:rPr>
          <w:rFonts w:cs="Arial"/>
          <w:bCs/>
          <w:bdr w:val="none" w:sz="0" w:space="0" w:color="auto" w:frame="1"/>
        </w:rPr>
      </w:pPr>
      <w:r w:rsidRPr="00EC3371">
        <w:rPr>
          <w:rFonts w:cs="Arial"/>
          <w:bCs/>
          <w:bdr w:val="none" w:sz="0" w:space="0" w:color="auto" w:frame="1"/>
        </w:rPr>
        <w:t xml:space="preserve">The </w:t>
      </w:r>
      <w:r>
        <w:rPr>
          <w:rFonts w:cs="Arial"/>
          <w:bCs/>
          <w:bdr w:val="none" w:sz="0" w:space="0" w:color="auto" w:frame="1"/>
        </w:rPr>
        <w:t>d</w:t>
      </w:r>
      <w:r w:rsidRPr="00EC3371">
        <w:rPr>
          <w:rFonts w:cs="Arial"/>
          <w:bCs/>
          <w:bdr w:val="none" w:sz="0" w:space="0" w:color="auto" w:frame="1"/>
        </w:rPr>
        <w:t xml:space="preserve">isabled </w:t>
      </w:r>
      <w:r>
        <w:rPr>
          <w:rFonts w:cs="Arial"/>
          <w:bCs/>
          <w:bdr w:val="none" w:sz="0" w:space="0" w:color="auto" w:frame="1"/>
        </w:rPr>
        <w:t>f</w:t>
      </w:r>
      <w:r w:rsidRPr="00EC3371">
        <w:rPr>
          <w:rFonts w:cs="Arial"/>
          <w:bCs/>
          <w:bdr w:val="none" w:sz="0" w:space="0" w:color="auto" w:frame="1"/>
        </w:rPr>
        <w:t xml:space="preserve">acilities </w:t>
      </w:r>
      <w:r>
        <w:rPr>
          <w:rFonts w:cs="Arial"/>
          <w:bCs/>
          <w:bdr w:val="none" w:sz="0" w:space="0" w:color="auto" w:frame="1"/>
        </w:rPr>
        <w:t>g</w:t>
      </w:r>
      <w:r w:rsidRPr="00EC3371">
        <w:rPr>
          <w:rFonts w:cs="Arial"/>
          <w:bCs/>
          <w:bdr w:val="none" w:sz="0" w:space="0" w:color="auto" w:frame="1"/>
        </w:rPr>
        <w:t xml:space="preserve">rant </w:t>
      </w:r>
      <w:r>
        <w:rPr>
          <w:rFonts w:cs="Arial"/>
          <w:bCs/>
          <w:bdr w:val="none" w:sz="0" w:space="0" w:color="auto" w:frame="1"/>
        </w:rPr>
        <w:t xml:space="preserve">(DFG) </w:t>
      </w:r>
      <w:r w:rsidRPr="00EC3371">
        <w:rPr>
          <w:rFonts w:cs="Arial"/>
          <w:bCs/>
          <w:bdr w:val="none" w:sz="0" w:space="0" w:color="auto" w:frame="1"/>
        </w:rPr>
        <w:t xml:space="preserve">is capital funding for the provision of home adaptations to help older and disabled people to live as independently and safely as possible in their homes.  The </w:t>
      </w:r>
      <w:r>
        <w:rPr>
          <w:rFonts w:cs="Arial"/>
          <w:bCs/>
          <w:bdr w:val="none" w:sz="0" w:space="0" w:color="auto" w:frame="1"/>
        </w:rPr>
        <w:t xml:space="preserve">2021/22 DFG allocation was </w:t>
      </w:r>
      <w:r w:rsidRPr="00EC3371">
        <w:rPr>
          <w:rFonts w:cs="Arial"/>
          <w:bCs/>
          <w:bdr w:val="none" w:sz="0" w:space="0" w:color="auto" w:frame="1"/>
        </w:rPr>
        <w:t xml:space="preserve">£16.715m </w:t>
      </w:r>
      <w:r>
        <w:rPr>
          <w:rFonts w:cs="Arial"/>
          <w:bCs/>
          <w:bdr w:val="none" w:sz="0" w:space="0" w:color="auto" w:frame="1"/>
        </w:rPr>
        <w:t>and this was</w:t>
      </w:r>
      <w:r w:rsidRPr="00EC3371">
        <w:rPr>
          <w:rFonts w:cs="Arial"/>
          <w:bCs/>
          <w:bdr w:val="none" w:sz="0" w:space="0" w:color="auto" w:frame="1"/>
        </w:rPr>
        <w:t xml:space="preserve"> received</w:t>
      </w:r>
      <w:r>
        <w:rPr>
          <w:rFonts w:cs="Arial"/>
          <w:bCs/>
          <w:bdr w:val="none" w:sz="0" w:space="0" w:color="auto" w:frame="1"/>
        </w:rPr>
        <w:t xml:space="preserve"> and</w:t>
      </w:r>
      <w:r w:rsidRPr="00EC3371">
        <w:rPr>
          <w:rFonts w:cs="Arial"/>
          <w:bCs/>
          <w:bdr w:val="none" w:sz="0" w:space="0" w:color="auto" w:frame="1"/>
        </w:rPr>
        <w:t xml:space="preserve"> fully passported to district councils to distribute</w:t>
      </w:r>
      <w:r>
        <w:rPr>
          <w:rFonts w:cs="Arial"/>
          <w:bCs/>
          <w:bdr w:val="none" w:sz="0" w:space="0" w:color="auto" w:frame="1"/>
        </w:rPr>
        <w:t xml:space="preserve"> during the first half of the year</w:t>
      </w:r>
      <w:r w:rsidRPr="00EC3371">
        <w:rPr>
          <w:rFonts w:cs="Arial"/>
          <w:bCs/>
          <w:bdr w:val="none" w:sz="0" w:space="0" w:color="auto" w:frame="1"/>
        </w:rPr>
        <w:t xml:space="preserve">. </w:t>
      </w:r>
    </w:p>
    <w:p w14:paraId="14C929A2" w14:textId="77777777" w:rsidR="00147403" w:rsidRPr="00EC3371" w:rsidRDefault="00147403" w:rsidP="00147403">
      <w:pPr>
        <w:spacing w:after="0"/>
        <w:rPr>
          <w:rFonts w:cs="Arial"/>
          <w:bCs/>
          <w:bdr w:val="none" w:sz="0" w:space="0" w:color="auto" w:frame="1"/>
        </w:rPr>
      </w:pPr>
    </w:p>
    <w:p w14:paraId="044EDD29" w14:textId="77777777" w:rsidR="00147403" w:rsidRDefault="00162F2E" w:rsidP="00147403">
      <w:pPr>
        <w:spacing w:after="0"/>
        <w:rPr>
          <w:rFonts w:cs="Arial"/>
          <w:bCs/>
          <w:bdr w:val="none" w:sz="0" w:space="0" w:color="auto" w:frame="1"/>
        </w:rPr>
      </w:pPr>
      <w:r w:rsidRPr="00EC3371">
        <w:rPr>
          <w:rFonts w:cs="Arial"/>
          <w:bCs/>
          <w:bdr w:val="none" w:sz="0" w:space="0" w:color="auto" w:frame="1"/>
        </w:rPr>
        <w:t xml:space="preserve">The </w:t>
      </w:r>
      <w:r>
        <w:rPr>
          <w:rFonts w:cs="Arial"/>
          <w:bCs/>
          <w:bdr w:val="none" w:sz="0" w:space="0" w:color="auto" w:frame="1"/>
        </w:rPr>
        <w:t>e</w:t>
      </w:r>
      <w:r w:rsidRPr="00EC3371">
        <w:rPr>
          <w:rFonts w:cs="Arial"/>
          <w:bCs/>
          <w:bdr w:val="none" w:sz="0" w:space="0" w:color="auto" w:frame="1"/>
        </w:rPr>
        <w:t xml:space="preserve">xtra </w:t>
      </w:r>
      <w:r>
        <w:rPr>
          <w:rFonts w:cs="Arial"/>
          <w:bCs/>
          <w:bdr w:val="none" w:sz="0" w:space="0" w:color="auto" w:frame="1"/>
        </w:rPr>
        <w:t>c</w:t>
      </w:r>
      <w:r w:rsidRPr="00EC3371">
        <w:rPr>
          <w:rFonts w:cs="Arial"/>
          <w:bCs/>
          <w:bdr w:val="none" w:sz="0" w:space="0" w:color="auto" w:frame="1"/>
        </w:rPr>
        <w:t xml:space="preserve">are </w:t>
      </w:r>
      <w:r>
        <w:rPr>
          <w:rFonts w:cs="Arial"/>
          <w:bCs/>
          <w:bdr w:val="none" w:sz="0" w:space="0" w:color="auto" w:frame="1"/>
        </w:rPr>
        <w:t>g</w:t>
      </w:r>
      <w:r w:rsidRPr="00EC3371">
        <w:rPr>
          <w:rFonts w:cs="Arial"/>
          <w:bCs/>
          <w:bdr w:val="none" w:sz="0" w:space="0" w:color="auto" w:frame="1"/>
        </w:rPr>
        <w:t xml:space="preserve">rant allocation for Preston, was </w:t>
      </w:r>
      <w:r>
        <w:rPr>
          <w:rFonts w:cs="Arial"/>
          <w:bCs/>
          <w:bdr w:val="none" w:sz="0" w:space="0" w:color="auto" w:frame="1"/>
        </w:rPr>
        <w:t xml:space="preserve">designed </w:t>
      </w:r>
      <w:r w:rsidRPr="00EC3371">
        <w:rPr>
          <w:rFonts w:cs="Arial"/>
          <w:bCs/>
          <w:bdr w:val="none" w:sz="0" w:space="0" w:color="auto" w:frame="1"/>
        </w:rPr>
        <w:t>to contribute to new independent living homes specifically for people over the age of 55 with varying care needs.  The legal agreement was due to be executed in 2021</w:t>
      </w:r>
      <w:r>
        <w:rPr>
          <w:rFonts w:cs="Arial"/>
          <w:bCs/>
          <w:bdr w:val="none" w:sz="0" w:space="0" w:color="auto" w:frame="1"/>
        </w:rPr>
        <w:t>/</w:t>
      </w:r>
      <w:r w:rsidRPr="00EC3371">
        <w:rPr>
          <w:rFonts w:cs="Arial"/>
          <w:bCs/>
          <w:bdr w:val="none" w:sz="0" w:space="0" w:color="auto" w:frame="1"/>
        </w:rPr>
        <w:t>22</w:t>
      </w:r>
      <w:r>
        <w:rPr>
          <w:rFonts w:cs="Arial"/>
          <w:bCs/>
          <w:bdr w:val="none" w:sz="0" w:space="0" w:color="auto" w:frame="1"/>
        </w:rPr>
        <w:t xml:space="preserve"> however</w:t>
      </w:r>
      <w:r w:rsidRPr="00EC3371">
        <w:rPr>
          <w:rFonts w:cs="Arial"/>
          <w:bCs/>
          <w:bdr w:val="none" w:sz="0" w:space="0" w:color="auto" w:frame="1"/>
        </w:rPr>
        <w:t xml:space="preserve"> additional delays have arisen, and it is now expected that the contribution £0.540m will now be finalised in 2022</w:t>
      </w:r>
      <w:r>
        <w:rPr>
          <w:rFonts w:cs="Arial"/>
          <w:bCs/>
          <w:bdr w:val="none" w:sz="0" w:space="0" w:color="auto" w:frame="1"/>
        </w:rPr>
        <w:t>/23 as the scheme itself is complete.</w:t>
      </w:r>
    </w:p>
    <w:p w14:paraId="60870EF0" w14:textId="77777777" w:rsidR="00147403" w:rsidRPr="00EC3371" w:rsidRDefault="00162F2E" w:rsidP="00147403">
      <w:pPr>
        <w:spacing w:after="0"/>
        <w:rPr>
          <w:rFonts w:cs="Arial"/>
          <w:bCs/>
          <w:bdr w:val="none" w:sz="0" w:space="0" w:color="auto" w:frame="1"/>
        </w:rPr>
      </w:pPr>
      <w:r>
        <w:rPr>
          <w:rFonts w:cs="Arial"/>
          <w:bCs/>
          <w:bdr w:val="none" w:sz="0" w:space="0" w:color="auto" w:frame="1"/>
        </w:rPr>
        <w:t xml:space="preserve"> </w:t>
      </w:r>
    </w:p>
    <w:p w14:paraId="3854EB00" w14:textId="77777777" w:rsidR="00147403" w:rsidRDefault="00162F2E" w:rsidP="00147403">
      <w:pPr>
        <w:spacing w:after="0"/>
        <w:rPr>
          <w:rFonts w:cs="Arial"/>
          <w:bCs/>
          <w:highlight w:val="yellow"/>
          <w:bdr w:val="none" w:sz="0" w:space="0" w:color="auto" w:frame="1"/>
        </w:rPr>
      </w:pPr>
      <w:r w:rsidRPr="00EC3371">
        <w:rPr>
          <w:rFonts w:cs="Arial"/>
          <w:bCs/>
          <w:bdr w:val="none" w:sz="0" w:space="0" w:color="auto" w:frame="1"/>
        </w:rPr>
        <w:t xml:space="preserve">The </w:t>
      </w:r>
      <w:r>
        <w:rPr>
          <w:rFonts w:cs="Arial"/>
          <w:bCs/>
          <w:bdr w:val="none" w:sz="0" w:space="0" w:color="auto" w:frame="1"/>
        </w:rPr>
        <w:t>i</w:t>
      </w:r>
      <w:r w:rsidRPr="00EC3371">
        <w:rPr>
          <w:rFonts w:cs="Arial"/>
          <w:bCs/>
          <w:bdr w:val="none" w:sz="0" w:space="0" w:color="auto" w:frame="1"/>
        </w:rPr>
        <w:t xml:space="preserve">npatient </w:t>
      </w:r>
      <w:r>
        <w:rPr>
          <w:rFonts w:cs="Arial"/>
          <w:bCs/>
          <w:bdr w:val="none" w:sz="0" w:space="0" w:color="auto" w:frame="1"/>
        </w:rPr>
        <w:t>d</w:t>
      </w:r>
      <w:r w:rsidRPr="00EC3371">
        <w:rPr>
          <w:rFonts w:cs="Arial"/>
          <w:bCs/>
          <w:bdr w:val="none" w:sz="0" w:space="0" w:color="auto" w:frame="1"/>
        </w:rPr>
        <w:t xml:space="preserve">etoxification </w:t>
      </w:r>
      <w:r>
        <w:rPr>
          <w:rFonts w:cs="Arial"/>
          <w:bCs/>
          <w:bdr w:val="none" w:sz="0" w:space="0" w:color="auto" w:frame="1"/>
        </w:rPr>
        <w:t>g</w:t>
      </w:r>
      <w:r w:rsidRPr="00EC3371">
        <w:rPr>
          <w:rFonts w:cs="Arial"/>
          <w:bCs/>
          <w:bdr w:val="none" w:sz="0" w:space="0" w:color="auto" w:frame="1"/>
        </w:rPr>
        <w:t>rant was a one-year funding scheme which aimed to increase medically managed inpatient detoxification capacity and stabilise this provision in the treatment system for drug and alcohol users. Funding of £0.058m was received in-year and has been paid in full to the provider.</w:t>
      </w:r>
    </w:p>
    <w:p w14:paraId="2CC8225D" w14:textId="77777777" w:rsidR="00147403" w:rsidRPr="00332326" w:rsidRDefault="00147403" w:rsidP="00147403">
      <w:pPr>
        <w:spacing w:after="0"/>
        <w:rPr>
          <w:rFonts w:cs="Arial"/>
          <w:bCs/>
          <w:bdr w:val="none" w:sz="0" w:space="0" w:color="auto" w:frame="1"/>
        </w:rPr>
      </w:pPr>
    </w:p>
    <w:p w14:paraId="14DB0894" w14:textId="77777777" w:rsidR="00147403" w:rsidRDefault="00162F2E" w:rsidP="00147403">
      <w:pPr>
        <w:spacing w:after="0"/>
        <w:rPr>
          <w:b/>
        </w:rPr>
      </w:pPr>
      <w:r w:rsidRPr="00332326">
        <w:rPr>
          <w:b/>
        </w:rPr>
        <w:t xml:space="preserve">Corporate property </w:t>
      </w:r>
    </w:p>
    <w:p w14:paraId="31E4D17C" w14:textId="77777777" w:rsidR="00147403" w:rsidRPr="00332326" w:rsidRDefault="00147403" w:rsidP="00147403">
      <w:pPr>
        <w:spacing w:after="0"/>
        <w:rPr>
          <w:b/>
        </w:rPr>
      </w:pPr>
    </w:p>
    <w:p w14:paraId="324552F8" w14:textId="77777777" w:rsidR="00147403" w:rsidRDefault="00162F2E" w:rsidP="00147403">
      <w:pPr>
        <w:spacing w:after="0"/>
        <w:rPr>
          <w:rFonts w:cstheme="minorHAnsi"/>
          <w:b/>
        </w:rPr>
      </w:pPr>
      <w:r w:rsidRPr="00332326">
        <w:rPr>
          <w:rFonts w:cstheme="minorHAnsi"/>
          <w:b/>
        </w:rPr>
        <w:t xml:space="preserve">The Corporate – Property capital programme has a 2021/22 delivery plan of £11.439m. The final outturn position is £7.852m, a variance of -£3.587m. </w:t>
      </w:r>
    </w:p>
    <w:p w14:paraId="288CD487" w14:textId="77777777" w:rsidR="00147403" w:rsidRPr="00332326" w:rsidRDefault="00162F2E" w:rsidP="00147403">
      <w:pPr>
        <w:spacing w:after="0"/>
        <w:rPr>
          <w:rFonts w:cstheme="minorHAnsi"/>
          <w:b/>
        </w:rPr>
      </w:pPr>
      <w:r w:rsidRPr="00332326">
        <w:rPr>
          <w:rFonts w:cstheme="minorHAnsi"/>
          <w:b/>
        </w:rPr>
        <w:t xml:space="preserve"> </w:t>
      </w:r>
    </w:p>
    <w:p w14:paraId="3DC2101E" w14:textId="77777777" w:rsidR="00147403" w:rsidRDefault="00162F2E" w:rsidP="00147403">
      <w:pPr>
        <w:spacing w:after="0"/>
      </w:pPr>
      <w:r>
        <w:t>The corporate property block oversees Capital spend on the range of property programmes within LCC's portfolio. An overview of these programmes is given below:</w:t>
      </w:r>
    </w:p>
    <w:p w14:paraId="58F116E7" w14:textId="77777777" w:rsidR="00147403" w:rsidRDefault="00147403" w:rsidP="00147403">
      <w:pPr>
        <w:spacing w:after="0"/>
      </w:pPr>
    </w:p>
    <w:p w14:paraId="34088B1D" w14:textId="77777777" w:rsidR="00147403" w:rsidRPr="00CB6290" w:rsidRDefault="00162F2E" w:rsidP="00147403">
      <w:pPr>
        <w:spacing w:after="0"/>
        <w:rPr>
          <w:b/>
          <w:bCs/>
        </w:rPr>
      </w:pPr>
      <w:r w:rsidRPr="00CB6290">
        <w:rPr>
          <w:b/>
          <w:bCs/>
        </w:rPr>
        <w:t>Bowgreave Rise programme</w:t>
      </w:r>
    </w:p>
    <w:p w14:paraId="46CDA04A" w14:textId="77777777" w:rsidR="00147403" w:rsidRDefault="00162F2E" w:rsidP="00147403">
      <w:pPr>
        <w:spacing w:after="0"/>
      </w:pPr>
      <w:r>
        <w:t>The project to replace Bowgreave Rise Residential Care Home, providing affordable extra care schemes for older people and supported housing apartments for younger adults with disabilities, has a slipped delivery variance in 2021/22 of -£1.178m. It is still anticipated that the construction work will be completed in 2022/23.</w:t>
      </w:r>
    </w:p>
    <w:p w14:paraId="598B1F08" w14:textId="77777777" w:rsidR="00147403" w:rsidRDefault="00147403" w:rsidP="00147403">
      <w:pPr>
        <w:spacing w:after="0"/>
      </w:pPr>
    </w:p>
    <w:p w14:paraId="4932622D" w14:textId="77777777" w:rsidR="00147403" w:rsidRPr="00CB6290" w:rsidRDefault="00162F2E" w:rsidP="00147403">
      <w:pPr>
        <w:spacing w:after="0"/>
        <w:rPr>
          <w:b/>
          <w:bCs/>
        </w:rPr>
      </w:pPr>
      <w:bookmarkStart w:id="18" w:name="_Hlk101442639"/>
      <w:r w:rsidRPr="00CB6290">
        <w:rPr>
          <w:b/>
          <w:bCs/>
        </w:rPr>
        <w:lastRenderedPageBreak/>
        <w:t>Great Harwood North Cliffe, Overnight Short Break Unit</w:t>
      </w:r>
    </w:p>
    <w:p w14:paraId="2CED443F" w14:textId="77777777" w:rsidR="00147403" w:rsidRDefault="00162F2E" w:rsidP="00147403">
      <w:pPr>
        <w:spacing w:after="0"/>
      </w:pPr>
      <w:r>
        <w:t xml:space="preserve">The construction of a new overnight short break unit providing purpose-built units to meet the diverse needs of the users has progressed despite bad weather delays over winter. There is a slipped delivery variance of -£0.568m which is forecast to be utilised in full in 2022/23 with completion of the project expected in quarter 1. </w:t>
      </w:r>
    </w:p>
    <w:p w14:paraId="255FEDF2" w14:textId="77777777" w:rsidR="00147403" w:rsidRDefault="00147403" w:rsidP="00147403">
      <w:pPr>
        <w:spacing w:after="0"/>
      </w:pPr>
    </w:p>
    <w:bookmarkEnd w:id="18"/>
    <w:p w14:paraId="6C381435" w14:textId="77777777" w:rsidR="00147403" w:rsidRPr="007D682F" w:rsidRDefault="00162F2E" w:rsidP="00147403">
      <w:pPr>
        <w:spacing w:after="0"/>
        <w:rPr>
          <w:b/>
          <w:bCs/>
        </w:rPr>
      </w:pPr>
      <w:r w:rsidRPr="007D682F">
        <w:rPr>
          <w:b/>
          <w:bCs/>
        </w:rPr>
        <w:t>Covid Secure Visiting Facilities</w:t>
      </w:r>
    </w:p>
    <w:p w14:paraId="3E6C3768" w14:textId="77777777" w:rsidR="00147403" w:rsidRDefault="00162F2E" w:rsidP="00147403">
      <w:pPr>
        <w:spacing w:after="0"/>
      </w:pPr>
      <w:r>
        <w:t xml:space="preserve">The programme of covid related property works had remaining funding of £0.138m from the initial allocation from 2020/21. The work at all the sites was completed in the year at an outturn of £0.128m, the remaining -£0.010m recorded as an underspend against the programme.  </w:t>
      </w:r>
    </w:p>
    <w:p w14:paraId="589657E3" w14:textId="77777777" w:rsidR="00147403" w:rsidRDefault="00147403" w:rsidP="00147403">
      <w:pPr>
        <w:spacing w:after="0"/>
      </w:pPr>
    </w:p>
    <w:p w14:paraId="1AB687C5" w14:textId="77777777" w:rsidR="00147403" w:rsidRPr="007D682F" w:rsidRDefault="00162F2E" w:rsidP="00147403">
      <w:pPr>
        <w:spacing w:after="0"/>
        <w:rPr>
          <w:b/>
          <w:bCs/>
        </w:rPr>
      </w:pPr>
      <w:r w:rsidRPr="007D682F">
        <w:rPr>
          <w:b/>
          <w:bCs/>
        </w:rPr>
        <w:t xml:space="preserve">Salix </w:t>
      </w:r>
      <w:r>
        <w:rPr>
          <w:b/>
          <w:bCs/>
        </w:rPr>
        <w:t>d</w:t>
      </w:r>
      <w:r w:rsidRPr="007D682F">
        <w:rPr>
          <w:b/>
          <w:bCs/>
        </w:rPr>
        <w:t>ecarbonisation</w:t>
      </w:r>
    </w:p>
    <w:p w14:paraId="67833E0C" w14:textId="77777777" w:rsidR="00147403" w:rsidRDefault="00162F2E" w:rsidP="00147403">
      <w:pPr>
        <w:spacing w:after="0"/>
      </w:pPr>
      <w:r>
        <w:t xml:space="preserve">A new programme was established for decarbonisation schemes at Burnley, Leyland and Garstang libraries. Work at Garstang is now complete and handed over, the remaining two sites have been hampered by the delay in delivery of the required heat pumps causing slipped delivery of -£0.183m. Work is due to be completed in early 2022/23. </w:t>
      </w:r>
    </w:p>
    <w:p w14:paraId="30F03604" w14:textId="77777777" w:rsidR="00147403" w:rsidRDefault="00147403" w:rsidP="00147403">
      <w:pPr>
        <w:spacing w:after="0"/>
      </w:pPr>
    </w:p>
    <w:p w14:paraId="0A550143" w14:textId="77777777" w:rsidR="00147403" w:rsidRPr="007D682F" w:rsidRDefault="00162F2E" w:rsidP="00147403">
      <w:pPr>
        <w:spacing w:after="0"/>
        <w:rPr>
          <w:b/>
          <w:bCs/>
        </w:rPr>
      </w:pPr>
      <w:r w:rsidRPr="007D682F">
        <w:rPr>
          <w:b/>
          <w:bCs/>
        </w:rPr>
        <w:t>Burnley Short Breaks Unit Extension</w:t>
      </w:r>
    </w:p>
    <w:p w14:paraId="7A1E1797" w14:textId="77777777" w:rsidR="00147403" w:rsidRDefault="00162F2E" w:rsidP="00147403">
      <w:pPr>
        <w:spacing w:after="0"/>
      </w:pPr>
      <w:r>
        <w:t>Work is now complete on the project to improve the capacity of the Burnley adults short breaks unit after lockdown delays in prior years. An underspend of -£0.029 is reported.</w:t>
      </w:r>
    </w:p>
    <w:p w14:paraId="6F7BFB28" w14:textId="77777777" w:rsidR="00147403" w:rsidRDefault="00147403" w:rsidP="00147403">
      <w:pPr>
        <w:spacing w:after="0"/>
      </w:pPr>
    </w:p>
    <w:p w14:paraId="025F1EC1" w14:textId="77777777" w:rsidR="00147403" w:rsidRPr="004A106C" w:rsidRDefault="00162F2E" w:rsidP="00147403">
      <w:pPr>
        <w:spacing w:after="0"/>
        <w:rPr>
          <w:b/>
          <w:bCs/>
        </w:rPr>
      </w:pPr>
      <w:r w:rsidRPr="004A106C">
        <w:rPr>
          <w:b/>
          <w:bCs/>
        </w:rPr>
        <w:t>Building condition programme</w:t>
      </w:r>
    </w:p>
    <w:p w14:paraId="162B70E9" w14:textId="77777777" w:rsidR="00147403" w:rsidRDefault="00162F2E" w:rsidP="00147403">
      <w:pPr>
        <w:spacing w:after="0"/>
      </w:pPr>
      <w:r w:rsidRPr="009B537D">
        <w:t>The delivery plan for the programme was set at £2.162m with 62 projects forecast to be worked on in the year. The major projects within the programme include roofing works at County Hall BMU which have now been completed.  This created £0.020m of additional delivery from previous slippage against its delivery target of £0.124m for 2021-22.  The mechanical works at Chorley neighbourhood centre are completed with a potential underspend of £0.007m once the defects period is completed. The replacement of chiller units within the CCP site is also complete with the system now in operation, an underspend variance of -£0.096m is reported which will be returned to the building condition budget to finance future schemes. All the programme's budget has been allocated but there is a remaining contingency of £1.376m. A small number of projects were initially restricted by access issues and, following a review, some have been put on hold increasing the forecast slipped delivery to -£1.190m, offset by additional delivery variances of £0.406m.</w:t>
      </w:r>
      <w:r>
        <w:t xml:space="preserve"> </w:t>
      </w:r>
    </w:p>
    <w:p w14:paraId="1B97673A" w14:textId="77777777" w:rsidR="00147403" w:rsidRDefault="00147403" w:rsidP="00147403">
      <w:pPr>
        <w:spacing w:after="0"/>
      </w:pPr>
    </w:p>
    <w:p w14:paraId="1A5FD89D" w14:textId="77777777" w:rsidR="00147403" w:rsidRPr="004A106C" w:rsidRDefault="00162F2E" w:rsidP="00147403">
      <w:pPr>
        <w:spacing w:after="0"/>
        <w:rPr>
          <w:b/>
          <w:bCs/>
        </w:rPr>
      </w:pPr>
      <w:r w:rsidRPr="004A106C">
        <w:rPr>
          <w:b/>
          <w:bCs/>
        </w:rPr>
        <w:t>Works to Operational Premises</w:t>
      </w:r>
    </w:p>
    <w:p w14:paraId="6A05CFE1" w14:textId="77777777" w:rsidR="00147403" w:rsidRDefault="00162F2E" w:rsidP="00147403">
      <w:pPr>
        <w:spacing w:after="0"/>
      </w:pPr>
      <w:r w:rsidRPr="00332326">
        <w:t>The delivery plan for this programme of works was set at £1.018m with 21 projects forecast to be worked on in the year. Over the programme, -£0.191m of underspends were recorded, and although -£0.503m of works will slip into 2022/23 a further £0.204m of projects planned for 2022/23 were undertaken ahead of schedule.</w:t>
      </w:r>
    </w:p>
    <w:p w14:paraId="7C04EA90" w14:textId="77777777" w:rsidR="00147403" w:rsidRDefault="00147403" w:rsidP="00147403">
      <w:pPr>
        <w:spacing w:after="0"/>
      </w:pPr>
    </w:p>
    <w:p w14:paraId="63A791DE" w14:textId="77777777" w:rsidR="00147403" w:rsidRDefault="00162F2E" w:rsidP="00147403">
      <w:pPr>
        <w:spacing w:after="0"/>
      </w:pPr>
      <w:r w:rsidRPr="00187CF9">
        <w:t xml:space="preserve">Of the major schemes, those to facilitate the transfer of the Civil Enforcement Officers to LCC alternative accommodation at both Lancaster and County Hall, have been completed incurring £0.051m and £0.059m respectively. The work to repair the Burnley Queen Street Mill has been finalised, spending £0.070m of the £0.160m delivery budget, and this annual underspend has been returned to the </w:t>
      </w:r>
      <w:r w:rsidRPr="00187CF9">
        <w:lastRenderedPageBreak/>
        <w:t xml:space="preserve">works to operational premises budget for future use. In addition, the project to replace the sluice rooms at Bowgreave Rise has also been completed ahead of schedule costing £0.084m and creating additional delivery of £0.044m.  </w:t>
      </w:r>
    </w:p>
    <w:p w14:paraId="2E93DFB8" w14:textId="77777777" w:rsidR="00147403" w:rsidRDefault="00147403" w:rsidP="00147403">
      <w:pPr>
        <w:spacing w:after="0"/>
      </w:pPr>
    </w:p>
    <w:p w14:paraId="79FA6929" w14:textId="77777777" w:rsidR="00147403" w:rsidRDefault="00162F2E" w:rsidP="00147403">
      <w:pPr>
        <w:spacing w:after="0"/>
      </w:pPr>
      <w:r>
        <w:t>The 2022/23 programme approved in February 2022 includes an amount of £14.7m for works on a portion of the property portfolio with a further £15m in 2023/24.  These costs resulted from the quinquennial surveys of a fifth of our portfolio and relate to urgent o priority one types of works.  There is a potential ask (£30m) on each of the remaining four fifths of the portfolio which is not affordable in the long term so property rationalisation or reorganisation is required to reduce this liability.  Work is ongoing around this area with results due to be reported in summer to feed into the budget setting process in Autumn for 2023/24.</w:t>
      </w:r>
    </w:p>
    <w:p w14:paraId="16A14980" w14:textId="77777777" w:rsidR="00147403" w:rsidRDefault="00162F2E" w:rsidP="00147403">
      <w:pPr>
        <w:spacing w:after="0"/>
      </w:pPr>
      <w:r>
        <w:t xml:space="preserve"> </w:t>
      </w:r>
    </w:p>
    <w:p w14:paraId="448D73DD" w14:textId="77777777" w:rsidR="00147403" w:rsidRPr="004A106C" w:rsidRDefault="00162F2E" w:rsidP="00147403">
      <w:pPr>
        <w:spacing w:after="0"/>
        <w:rPr>
          <w:b/>
          <w:bCs/>
        </w:rPr>
      </w:pPr>
      <w:r w:rsidRPr="004A106C">
        <w:rPr>
          <w:b/>
          <w:bCs/>
        </w:rPr>
        <w:t>E</w:t>
      </w:r>
      <w:r>
        <w:rPr>
          <w:b/>
          <w:bCs/>
        </w:rPr>
        <w:t>lectric vehicle</w:t>
      </w:r>
      <w:r w:rsidRPr="004A106C">
        <w:rPr>
          <w:b/>
          <w:bCs/>
        </w:rPr>
        <w:t xml:space="preserve"> charging points at LCC Sites</w:t>
      </w:r>
    </w:p>
    <w:p w14:paraId="01A2C041" w14:textId="77777777" w:rsidR="00BD2082" w:rsidRDefault="00162F2E" w:rsidP="00147403">
      <w:pPr>
        <w:spacing w:after="0"/>
        <w:rPr>
          <w:rFonts w:cstheme="minorHAnsi"/>
          <w:bCs/>
        </w:rPr>
      </w:pPr>
      <w:r>
        <w:t>A new programme of £0.215m to begin installing Electric Vehicle charging points at LCC sites was approved, of which £0.120m was added to the 2021/22 delivery budget to cover the sites at Hapton Network fleet depot and Bamber Bridge.  Only £0.014m was incurred in 2021/22 in initial preparations, but this slippage of -£0.106, plus the remaining £0.095m, is forecast to be spent in full in 2022/23</w:t>
      </w:r>
    </w:p>
    <w:p w14:paraId="5BB61E5B" w14:textId="77777777" w:rsidR="002F42BE" w:rsidRPr="00812801" w:rsidRDefault="002F42BE" w:rsidP="0CFBF26B">
      <w:pPr>
        <w:autoSpaceDE/>
        <w:autoSpaceDN/>
        <w:adjustRightInd/>
        <w:spacing w:after="0"/>
      </w:pPr>
    </w:p>
    <w:p w14:paraId="74B7715B" w14:textId="77777777" w:rsidR="009175C7" w:rsidRDefault="00162F2E" w:rsidP="009175C7">
      <w:pPr>
        <w:spacing w:after="0"/>
        <w:rPr>
          <w:b/>
        </w:rPr>
      </w:pPr>
      <w:r w:rsidRPr="00332326">
        <w:rPr>
          <w:b/>
        </w:rPr>
        <w:t>Economic Development</w:t>
      </w:r>
    </w:p>
    <w:p w14:paraId="3C84B5BB" w14:textId="77777777" w:rsidR="009175C7" w:rsidRPr="00332326" w:rsidRDefault="009175C7" w:rsidP="009175C7">
      <w:pPr>
        <w:spacing w:after="0"/>
        <w:rPr>
          <w:b/>
        </w:rPr>
      </w:pPr>
    </w:p>
    <w:p w14:paraId="4A3CA292" w14:textId="77777777" w:rsidR="009175C7" w:rsidRDefault="00162F2E" w:rsidP="009175C7">
      <w:pPr>
        <w:spacing w:after="0"/>
        <w:rPr>
          <w:rFonts w:cstheme="minorHAnsi"/>
          <w:b/>
        </w:rPr>
      </w:pPr>
      <w:r w:rsidRPr="00332326">
        <w:rPr>
          <w:rFonts w:cstheme="minorHAnsi"/>
          <w:b/>
        </w:rPr>
        <w:t xml:space="preserve">The Economic Development capital programme has a 2021/22 delivery plan of £11.989m. The final outturn position is £13.900m, a variance of £1.911m. </w:t>
      </w:r>
    </w:p>
    <w:p w14:paraId="13359A80" w14:textId="77777777" w:rsidR="009175C7" w:rsidRPr="00332326" w:rsidRDefault="00162F2E" w:rsidP="009175C7">
      <w:pPr>
        <w:spacing w:after="0"/>
        <w:rPr>
          <w:rFonts w:cstheme="minorHAnsi"/>
          <w:b/>
        </w:rPr>
      </w:pPr>
      <w:r w:rsidRPr="00332326">
        <w:rPr>
          <w:rFonts w:cstheme="minorHAnsi"/>
          <w:b/>
        </w:rPr>
        <w:t xml:space="preserve"> </w:t>
      </w:r>
    </w:p>
    <w:p w14:paraId="0A74E3B7" w14:textId="77777777" w:rsidR="009175C7" w:rsidRDefault="00162F2E" w:rsidP="009175C7">
      <w:pPr>
        <w:spacing w:after="0"/>
      </w:pPr>
      <w:r>
        <w:t>Expenditure on the Samlesbury Enterprise Zone, which on completion will be a national centre of excellence for advanced engineering and manufacturing, rose to £4.501m in 2021/22, a net additional delivery variance of £0.162m. The final works to zone C are expected to be completed in summer 2022 which will allow progression to work on Zone A, the subsequent area to be utilised.</w:t>
      </w:r>
    </w:p>
    <w:p w14:paraId="41509455" w14:textId="77777777" w:rsidR="009175C7" w:rsidRDefault="009175C7" w:rsidP="009175C7">
      <w:pPr>
        <w:spacing w:after="0"/>
      </w:pPr>
    </w:p>
    <w:p w14:paraId="4B576B34" w14:textId="77777777" w:rsidR="009175C7" w:rsidRDefault="00162F2E" w:rsidP="009175C7">
      <w:pPr>
        <w:spacing w:after="0"/>
      </w:pPr>
      <w:r>
        <w:t xml:space="preserve">A contribution to the Brierfield Mill scheme, which has created offices, apartments, and leisure schemes in the redeveloped site, has a slipped delivery variance of £0.407m. It is now expected that the remaining contribution will be finalised in 2022/23. The annual contribution to the City Deal of £1.295m from the Economic Development Programme was made earlier in the year although it is now forecast that the remaining contribution towards the expansion of the Lomeshaye Industrial Estate of £1.500m will be made next financial year after been held up in 2021/22 by the delays in progress on site due to lockdown. </w:t>
      </w:r>
    </w:p>
    <w:p w14:paraId="73B87A10" w14:textId="77777777" w:rsidR="009175C7" w:rsidRDefault="009175C7" w:rsidP="009175C7">
      <w:pPr>
        <w:spacing w:after="0"/>
      </w:pPr>
    </w:p>
    <w:p w14:paraId="072F9F4B" w14:textId="77777777" w:rsidR="009175C7" w:rsidRDefault="00162F2E" w:rsidP="009175C7">
      <w:pPr>
        <w:spacing w:after="0"/>
      </w:pPr>
      <w:r>
        <w:t>The Cuerden Strategic Site was given a delivery plan of only £0.200m in 2021/22 for consultancy, however some initial design fees were also incurred creating £0.023m of additional delivery. The bulk of the revised work remains forecast to take place in future years and will also include the newly announced Farrington Cricket Facility.</w:t>
      </w:r>
    </w:p>
    <w:p w14:paraId="48FEADE1" w14:textId="77777777" w:rsidR="009175C7" w:rsidRDefault="009175C7" w:rsidP="009175C7">
      <w:pPr>
        <w:spacing w:after="0"/>
      </w:pPr>
    </w:p>
    <w:p w14:paraId="6D615BF7" w14:textId="77777777" w:rsidR="009175C7" w:rsidRDefault="00162F2E" w:rsidP="009175C7">
      <w:pPr>
        <w:spacing w:after="0"/>
      </w:pPr>
      <w:r>
        <w:t xml:space="preserve">Work on the submission of the Business Case for The Eden North project in Morecambe utilised £0.151m in 2021/22 in completion of this first stage of the process, a slipped delivery variance of -£0.231m. The £125m project is set for completion in 2024 in partnership with the Eden project, Lancashire Enterprise Partnership, Lancaster City Council and Lancaster University.  </w:t>
      </w:r>
    </w:p>
    <w:p w14:paraId="4B11FAA8" w14:textId="77777777" w:rsidR="00B61F72" w:rsidRDefault="00B61F72" w:rsidP="009175C7">
      <w:pPr>
        <w:spacing w:after="0"/>
      </w:pPr>
    </w:p>
    <w:p w14:paraId="0BC9D67A" w14:textId="77777777" w:rsidR="00B61F72" w:rsidRDefault="00B61F72" w:rsidP="009175C7">
      <w:pPr>
        <w:spacing w:after="0"/>
      </w:pPr>
    </w:p>
    <w:p w14:paraId="5935B8D2" w14:textId="77777777" w:rsidR="009175C7" w:rsidRPr="00737295" w:rsidRDefault="009175C7" w:rsidP="009175C7">
      <w:pPr>
        <w:spacing w:after="0"/>
        <w:rPr>
          <w:highlight w:val="yellow"/>
        </w:rPr>
      </w:pPr>
    </w:p>
    <w:p w14:paraId="7D003A76" w14:textId="77777777" w:rsidR="009175C7" w:rsidRDefault="00162F2E" w:rsidP="009175C7">
      <w:pPr>
        <w:spacing w:after="0"/>
        <w:rPr>
          <w:rFonts w:cstheme="minorHAnsi"/>
          <w:b/>
          <w:color w:val="000000" w:themeColor="text1"/>
        </w:rPr>
      </w:pPr>
      <w:bookmarkStart w:id="19" w:name="_Hlk101510357"/>
      <w:r w:rsidRPr="00332326">
        <w:rPr>
          <w:rFonts w:cstheme="minorHAnsi"/>
          <w:b/>
          <w:color w:val="000000" w:themeColor="text1"/>
        </w:rPr>
        <w:t>South Lancaster Growth Catalyst (SLGC)</w:t>
      </w:r>
    </w:p>
    <w:p w14:paraId="0CCFA978" w14:textId="77777777" w:rsidR="009175C7" w:rsidRPr="00332326" w:rsidRDefault="009175C7" w:rsidP="009175C7">
      <w:pPr>
        <w:spacing w:after="0"/>
        <w:rPr>
          <w:rFonts w:cstheme="minorHAnsi"/>
          <w:b/>
          <w:color w:val="000000" w:themeColor="text1"/>
        </w:rPr>
      </w:pPr>
    </w:p>
    <w:p w14:paraId="15A529F4" w14:textId="77777777" w:rsidR="009175C7" w:rsidRDefault="00162F2E" w:rsidP="009175C7">
      <w:pPr>
        <w:spacing w:after="0"/>
        <w:rPr>
          <w:rFonts w:cstheme="minorHAnsi"/>
          <w:b/>
        </w:rPr>
      </w:pPr>
      <w:r w:rsidRPr="00332326">
        <w:rPr>
          <w:rFonts w:cstheme="minorHAnsi"/>
          <w:b/>
        </w:rPr>
        <w:t>The SLGC capital programme has a 2021/22 delivery plan of £4.100m. The final outturn position is £1.676m, a variance of -£2.424m</w:t>
      </w:r>
    </w:p>
    <w:p w14:paraId="7C472272" w14:textId="77777777" w:rsidR="009175C7" w:rsidRPr="00332326" w:rsidRDefault="009175C7" w:rsidP="009175C7">
      <w:pPr>
        <w:spacing w:after="0"/>
        <w:rPr>
          <w:rFonts w:cstheme="minorHAnsi"/>
          <w:b/>
        </w:rPr>
      </w:pPr>
    </w:p>
    <w:p w14:paraId="50016114" w14:textId="77777777" w:rsidR="009175C7" w:rsidRDefault="00162F2E" w:rsidP="009175C7">
      <w:pPr>
        <w:spacing w:after="0"/>
        <w:rPr>
          <w:rFonts w:cstheme="minorHAnsi"/>
          <w:bCs/>
          <w:color w:val="000000" w:themeColor="text1"/>
        </w:rPr>
      </w:pPr>
      <w:r w:rsidRPr="007F7150">
        <w:rPr>
          <w:rFonts w:cstheme="minorHAnsi"/>
          <w:bCs/>
          <w:color w:val="000000" w:themeColor="text1"/>
        </w:rPr>
        <w:t>In October 2021 a collaboration agreement was signed between Lancaster City Council and Lancashire County Council for a long-term collaboration which will develop south Lancaster to stimulate growth in the region. The agreement plans to deliver c10,000 homes and use the developer contributions alongside agreed grant funding from the Homes England (HE) to develop new and existing highways infrastructure.</w:t>
      </w:r>
    </w:p>
    <w:p w14:paraId="5FF62B3C" w14:textId="77777777" w:rsidR="009175C7" w:rsidRPr="007F7150" w:rsidRDefault="009175C7" w:rsidP="009175C7">
      <w:pPr>
        <w:spacing w:after="0"/>
        <w:rPr>
          <w:rFonts w:cstheme="minorHAnsi"/>
          <w:bCs/>
          <w:color w:val="000000" w:themeColor="text1"/>
        </w:rPr>
      </w:pPr>
    </w:p>
    <w:p w14:paraId="01E57704" w14:textId="77777777" w:rsidR="009175C7" w:rsidRPr="00525DF8" w:rsidRDefault="00162F2E" w:rsidP="009175C7">
      <w:pPr>
        <w:spacing w:after="0"/>
        <w:rPr>
          <w:rFonts w:cstheme="minorHAnsi"/>
          <w:bCs/>
          <w:color w:val="000000" w:themeColor="text1"/>
        </w:rPr>
      </w:pPr>
      <w:r w:rsidRPr="007F7150">
        <w:rPr>
          <w:rFonts w:cstheme="minorHAnsi"/>
          <w:bCs/>
          <w:color w:val="000000" w:themeColor="text1"/>
        </w:rPr>
        <w:t>Work has been on-going on the design for the agreed early deliverable projects, and HE agreed a 2021/22 budget of £4.100m to cover these initial costs.</w:t>
      </w:r>
      <w:bookmarkEnd w:id="19"/>
      <w:r>
        <w:rPr>
          <w:rFonts w:cstheme="minorHAnsi"/>
          <w:bCs/>
          <w:color w:val="000000" w:themeColor="text1"/>
        </w:rPr>
        <w:t xml:space="preserve"> </w:t>
      </w:r>
      <w:r>
        <w:t>However, there were some delays in issuing contracts for design and early supplier contract works that were a direct implication of the delay in signing the collaboration agreement. Whilst these works are now underway, there has been slipped delivery of -£2.424m this year. Homes England are aware the delay and have a revised cash flow to mitigate this as works progress. This cash flow will be mirrored in the 2022-23 delivery plan.</w:t>
      </w:r>
    </w:p>
    <w:p w14:paraId="5B137C3D" w14:textId="77777777" w:rsidR="009175C7" w:rsidRPr="008B22AA" w:rsidRDefault="009175C7" w:rsidP="009175C7">
      <w:pPr>
        <w:spacing w:after="0"/>
        <w:rPr>
          <w:rFonts w:cstheme="minorHAnsi"/>
          <w:b/>
          <w:color w:val="000000" w:themeColor="text1"/>
        </w:rPr>
      </w:pPr>
    </w:p>
    <w:p w14:paraId="15921B50" w14:textId="77777777" w:rsidR="009175C7" w:rsidRDefault="00162F2E" w:rsidP="009175C7">
      <w:pPr>
        <w:spacing w:after="0"/>
        <w:rPr>
          <w:rFonts w:cstheme="minorHAnsi"/>
          <w:b/>
          <w:color w:val="000000" w:themeColor="text1"/>
        </w:rPr>
      </w:pPr>
      <w:r w:rsidRPr="008B22AA">
        <w:rPr>
          <w:rFonts w:cstheme="minorHAnsi"/>
          <w:b/>
          <w:color w:val="000000" w:themeColor="text1"/>
        </w:rPr>
        <w:t>Vehicles</w:t>
      </w:r>
    </w:p>
    <w:p w14:paraId="212E8CCE" w14:textId="77777777" w:rsidR="009175C7" w:rsidRPr="008B22AA" w:rsidRDefault="009175C7" w:rsidP="009175C7">
      <w:pPr>
        <w:spacing w:after="0"/>
        <w:rPr>
          <w:rFonts w:cstheme="minorHAnsi"/>
          <w:b/>
          <w:color w:val="000000" w:themeColor="text1"/>
        </w:rPr>
      </w:pPr>
    </w:p>
    <w:p w14:paraId="11DC6BEB" w14:textId="77777777" w:rsidR="009175C7" w:rsidRDefault="00162F2E" w:rsidP="009175C7">
      <w:pPr>
        <w:spacing w:after="0"/>
        <w:rPr>
          <w:rFonts w:cstheme="minorHAnsi"/>
          <w:b/>
        </w:rPr>
      </w:pPr>
      <w:r w:rsidRPr="008B22AA">
        <w:rPr>
          <w:rFonts w:cstheme="minorHAnsi"/>
          <w:b/>
        </w:rPr>
        <w:t>The Vehicles capital programme has a 2021/22 delivery plan of £3.999m. The final outturn position is £4.709m, a variance of £0.710m</w:t>
      </w:r>
    </w:p>
    <w:p w14:paraId="5024C8DF" w14:textId="77777777" w:rsidR="009175C7" w:rsidRPr="008B22AA" w:rsidRDefault="009175C7" w:rsidP="009175C7">
      <w:pPr>
        <w:spacing w:after="0"/>
        <w:rPr>
          <w:rFonts w:cstheme="minorHAnsi"/>
          <w:b/>
        </w:rPr>
      </w:pPr>
    </w:p>
    <w:p w14:paraId="2E3AFD30" w14:textId="77777777" w:rsidR="009175C7" w:rsidRDefault="00162F2E" w:rsidP="009175C7">
      <w:pPr>
        <w:spacing w:after="0"/>
        <w:rPr>
          <w:rFonts w:cstheme="minorHAnsi"/>
          <w:bCs/>
        </w:rPr>
      </w:pPr>
      <w:r w:rsidRPr="00531B8F">
        <w:rPr>
          <w:rFonts w:cstheme="minorHAnsi"/>
          <w:bCs/>
        </w:rPr>
        <w:t xml:space="preserve">In 2021/22 </w:t>
      </w:r>
      <w:r>
        <w:rPr>
          <w:rFonts w:cstheme="minorHAnsi"/>
          <w:bCs/>
        </w:rPr>
        <w:t>the Vehicles capital programme has overseen delivery of</w:t>
      </w:r>
      <w:r w:rsidRPr="00531B8F">
        <w:rPr>
          <w:rFonts w:cstheme="minorHAnsi"/>
          <w:bCs/>
        </w:rPr>
        <w:t xml:space="preserve"> thirty-two vans, four cars, two pick-up trucks, one semitrailer, four excavators, one tipper truck, one traffic management vehicle, three mobile library vehicles, four snowploughs, one arm mower, eighteen accessible minibuses, fifteen conversion minibuses, two tandem rollers and two woodchippers.  </w:t>
      </w:r>
    </w:p>
    <w:p w14:paraId="280FDCAD" w14:textId="77777777" w:rsidR="009175C7" w:rsidRDefault="00162F2E" w:rsidP="009175C7">
      <w:pPr>
        <w:spacing w:after="0"/>
        <w:rPr>
          <w:rFonts w:cstheme="minorHAnsi"/>
          <w:bCs/>
        </w:rPr>
      </w:pPr>
      <w:r w:rsidRPr="00531B8F">
        <w:rPr>
          <w:rFonts w:cstheme="minorHAnsi"/>
          <w:bCs/>
        </w:rPr>
        <w:t xml:space="preserve"> </w:t>
      </w:r>
    </w:p>
    <w:p w14:paraId="0391A235" w14:textId="77777777" w:rsidR="009175C7" w:rsidRDefault="00162F2E" w:rsidP="009175C7">
      <w:pPr>
        <w:spacing w:after="0"/>
        <w:rPr>
          <w:rFonts w:cstheme="minorHAnsi"/>
          <w:bCs/>
        </w:rPr>
      </w:pPr>
      <w:r w:rsidRPr="00531B8F">
        <w:rPr>
          <w:rFonts w:cstheme="minorHAnsi"/>
          <w:bCs/>
        </w:rPr>
        <w:t>There is a slipped variance of -£0.615m relating to nine vehicles (five vans, three trucks and one mobile library)</w:t>
      </w:r>
      <w:r>
        <w:rPr>
          <w:rFonts w:cstheme="minorHAnsi"/>
          <w:bCs/>
        </w:rPr>
        <w:t xml:space="preserve">. </w:t>
      </w:r>
      <w:r w:rsidRPr="00531B8F">
        <w:rPr>
          <w:rFonts w:cstheme="minorHAnsi"/>
          <w:bCs/>
        </w:rPr>
        <w:t>These schemes slipped due to staff shortages and reduced factory operating hours due to the impact of COVID19</w:t>
      </w:r>
      <w:r>
        <w:rPr>
          <w:rFonts w:cstheme="minorHAnsi"/>
          <w:bCs/>
        </w:rPr>
        <w:t>,</w:t>
      </w:r>
      <w:r w:rsidRPr="00531B8F">
        <w:rPr>
          <w:rFonts w:cstheme="minorHAnsi"/>
          <w:bCs/>
        </w:rPr>
        <w:t xml:space="preserve"> these vehicles are forecast to be delivered in 2022/23.</w:t>
      </w:r>
      <w:r w:rsidRPr="008B22AA">
        <w:rPr>
          <w:rFonts w:cstheme="minorHAnsi"/>
          <w:bCs/>
        </w:rPr>
        <w:t xml:space="preserve"> </w:t>
      </w:r>
      <w:r w:rsidRPr="00531B8F">
        <w:rPr>
          <w:rFonts w:cstheme="minorHAnsi"/>
          <w:bCs/>
        </w:rPr>
        <w:t>There has also been</w:t>
      </w:r>
      <w:r>
        <w:rPr>
          <w:rFonts w:cstheme="minorHAnsi"/>
          <w:bCs/>
        </w:rPr>
        <w:t xml:space="preserve"> slippage of the</w:t>
      </w:r>
      <w:r w:rsidRPr="00531B8F">
        <w:rPr>
          <w:rFonts w:cstheme="minorHAnsi"/>
          <w:bCs/>
        </w:rPr>
        <w:t xml:space="preserve"> unallocated funding totalling -£0.0</w:t>
      </w:r>
      <w:r>
        <w:rPr>
          <w:rFonts w:cstheme="minorHAnsi"/>
          <w:bCs/>
        </w:rPr>
        <w:t>34</w:t>
      </w:r>
      <w:r w:rsidRPr="00531B8F">
        <w:rPr>
          <w:rFonts w:cstheme="minorHAnsi"/>
          <w:bCs/>
        </w:rPr>
        <w:t>m that has been reallocated to schemes expected to be delivered in 2022/23.</w:t>
      </w:r>
    </w:p>
    <w:p w14:paraId="05087811" w14:textId="77777777" w:rsidR="009175C7" w:rsidRPr="008B22AA" w:rsidRDefault="009175C7" w:rsidP="009175C7">
      <w:pPr>
        <w:spacing w:after="0"/>
        <w:rPr>
          <w:rFonts w:cstheme="minorHAnsi"/>
          <w:bCs/>
        </w:rPr>
      </w:pPr>
    </w:p>
    <w:p w14:paraId="30F2C91E" w14:textId="77777777" w:rsidR="009175C7" w:rsidRPr="00531B8F" w:rsidRDefault="00162F2E" w:rsidP="009175C7">
      <w:pPr>
        <w:spacing w:after="0"/>
        <w:rPr>
          <w:rFonts w:cstheme="minorHAnsi"/>
          <w:bCs/>
        </w:rPr>
      </w:pPr>
      <w:r w:rsidRPr="00531B8F">
        <w:rPr>
          <w:rFonts w:cstheme="minorHAnsi"/>
          <w:bCs/>
        </w:rPr>
        <w:t xml:space="preserve">The scheme for eighteen accessible minibuses has </w:t>
      </w:r>
      <w:r>
        <w:rPr>
          <w:rFonts w:cstheme="minorHAnsi"/>
          <w:bCs/>
        </w:rPr>
        <w:t xml:space="preserve">an </w:t>
      </w:r>
      <w:r w:rsidRPr="00531B8F">
        <w:rPr>
          <w:rFonts w:cstheme="minorHAnsi"/>
          <w:bCs/>
        </w:rPr>
        <w:t xml:space="preserve">additional delivery </w:t>
      </w:r>
      <w:r>
        <w:rPr>
          <w:rFonts w:cstheme="minorHAnsi"/>
          <w:bCs/>
        </w:rPr>
        <w:t xml:space="preserve">variance </w:t>
      </w:r>
      <w:r w:rsidRPr="00531B8F">
        <w:rPr>
          <w:rFonts w:cstheme="minorHAnsi"/>
          <w:bCs/>
        </w:rPr>
        <w:t>of £0.92</w:t>
      </w:r>
      <w:r>
        <w:rPr>
          <w:rFonts w:cstheme="minorHAnsi"/>
          <w:bCs/>
        </w:rPr>
        <w:t>3</w:t>
      </w:r>
      <w:r w:rsidRPr="00531B8F">
        <w:rPr>
          <w:rFonts w:cstheme="minorHAnsi"/>
          <w:bCs/>
        </w:rPr>
        <w:t xml:space="preserve">m. The full scheme was originally anticipated to be part-delivered this financial year and the remainder delivered in 2022/23, however </w:t>
      </w:r>
      <w:r>
        <w:rPr>
          <w:rFonts w:cstheme="minorHAnsi"/>
          <w:bCs/>
        </w:rPr>
        <w:t>some minibuses have been delivered earlier than expected.</w:t>
      </w:r>
      <w:r w:rsidRPr="00531B8F">
        <w:rPr>
          <w:rFonts w:cstheme="minorHAnsi"/>
          <w:bCs/>
        </w:rPr>
        <w:t xml:space="preserve"> The same applies for the scheme for twelve vans, which has had additional delivery of £0.084m.</w:t>
      </w:r>
      <w:r>
        <w:rPr>
          <w:rFonts w:cstheme="minorHAnsi"/>
          <w:bCs/>
        </w:rPr>
        <w:t xml:space="preserve"> </w:t>
      </w:r>
      <w:r w:rsidRPr="00531B8F">
        <w:rPr>
          <w:rFonts w:cstheme="minorHAnsi"/>
          <w:bCs/>
        </w:rPr>
        <w:t xml:space="preserve">There has also been additional delivery of £0.022m for four snowploughs, £0.055m for two pick-up trucks, £0.214m for two Hamm tandem rollers and £0.069m for two woodchippers which were </w:t>
      </w:r>
      <w:r>
        <w:rPr>
          <w:rFonts w:cstheme="minorHAnsi"/>
          <w:bCs/>
        </w:rPr>
        <w:t xml:space="preserve">all </w:t>
      </w:r>
      <w:r w:rsidRPr="00531B8F">
        <w:rPr>
          <w:rFonts w:cstheme="minorHAnsi"/>
          <w:bCs/>
        </w:rPr>
        <w:t xml:space="preserve">initially anticipated to be delivered in 2022/23.  </w:t>
      </w:r>
    </w:p>
    <w:p w14:paraId="6D1A4C6D" w14:textId="32E6C556" w:rsidR="009175C7" w:rsidRDefault="009175C7" w:rsidP="009175C7">
      <w:pPr>
        <w:spacing w:after="0"/>
        <w:rPr>
          <w:rFonts w:cstheme="minorHAnsi"/>
          <w:bCs/>
          <w:highlight w:val="yellow"/>
        </w:rPr>
      </w:pPr>
    </w:p>
    <w:p w14:paraId="5A2D44DD" w14:textId="15B7BD36" w:rsidR="00162F2E" w:rsidRDefault="00162F2E" w:rsidP="009175C7">
      <w:pPr>
        <w:spacing w:after="0"/>
        <w:rPr>
          <w:rFonts w:cstheme="minorHAnsi"/>
          <w:bCs/>
          <w:highlight w:val="yellow"/>
        </w:rPr>
      </w:pPr>
    </w:p>
    <w:p w14:paraId="44E27BD0" w14:textId="3CC884F4" w:rsidR="00162F2E" w:rsidRDefault="00162F2E" w:rsidP="009175C7">
      <w:pPr>
        <w:spacing w:after="0"/>
        <w:rPr>
          <w:rFonts w:cstheme="minorHAnsi"/>
          <w:bCs/>
          <w:highlight w:val="yellow"/>
        </w:rPr>
      </w:pPr>
    </w:p>
    <w:p w14:paraId="73A1654C" w14:textId="77777777" w:rsidR="00162F2E" w:rsidRPr="00737295" w:rsidRDefault="00162F2E" w:rsidP="009175C7">
      <w:pPr>
        <w:spacing w:after="0"/>
        <w:rPr>
          <w:rFonts w:cstheme="minorHAnsi"/>
          <w:bCs/>
          <w:highlight w:val="yellow"/>
        </w:rPr>
      </w:pPr>
    </w:p>
    <w:p w14:paraId="24F2EB35" w14:textId="77777777" w:rsidR="009175C7" w:rsidRDefault="00162F2E" w:rsidP="009175C7">
      <w:pPr>
        <w:spacing w:after="0"/>
        <w:rPr>
          <w:rFonts w:cstheme="minorHAnsi"/>
          <w:b/>
          <w:color w:val="000000" w:themeColor="text1"/>
        </w:rPr>
      </w:pPr>
      <w:bookmarkStart w:id="20" w:name="_Hlk101524777"/>
      <w:r w:rsidRPr="008B22AA">
        <w:rPr>
          <w:rFonts w:cstheme="minorHAnsi"/>
          <w:b/>
          <w:color w:val="000000" w:themeColor="text1"/>
        </w:rPr>
        <w:lastRenderedPageBreak/>
        <w:t>Transforming Cities Fund (TCF)</w:t>
      </w:r>
    </w:p>
    <w:p w14:paraId="1636229A" w14:textId="77777777" w:rsidR="009175C7" w:rsidRPr="008B22AA" w:rsidRDefault="009175C7" w:rsidP="009175C7">
      <w:pPr>
        <w:spacing w:after="0"/>
        <w:rPr>
          <w:rFonts w:cstheme="minorHAnsi"/>
          <w:b/>
          <w:color w:val="000000" w:themeColor="text1"/>
        </w:rPr>
      </w:pPr>
    </w:p>
    <w:p w14:paraId="35DA3953" w14:textId="77777777" w:rsidR="009175C7" w:rsidRDefault="00162F2E" w:rsidP="009175C7">
      <w:pPr>
        <w:spacing w:after="0"/>
        <w:rPr>
          <w:rFonts w:cstheme="minorHAnsi"/>
          <w:b/>
        </w:rPr>
      </w:pPr>
      <w:r w:rsidRPr="008B22AA">
        <w:rPr>
          <w:rFonts w:cstheme="minorHAnsi"/>
          <w:b/>
        </w:rPr>
        <w:t xml:space="preserve">The TCF capital programme has a 2021/22 delivery plan of £5.788m. The final outturn position is £2.801m, a variance of -£2.987m.  </w:t>
      </w:r>
    </w:p>
    <w:p w14:paraId="0FD5F4A8" w14:textId="77777777" w:rsidR="009175C7" w:rsidRPr="008B22AA" w:rsidRDefault="009175C7" w:rsidP="009175C7">
      <w:pPr>
        <w:spacing w:after="0"/>
        <w:rPr>
          <w:rFonts w:cstheme="minorHAnsi"/>
          <w:b/>
        </w:rPr>
      </w:pPr>
    </w:p>
    <w:p w14:paraId="1E1779CB" w14:textId="77777777" w:rsidR="009175C7" w:rsidRDefault="00162F2E" w:rsidP="009175C7">
      <w:pPr>
        <w:spacing w:after="0"/>
        <w:rPr>
          <w:rFonts w:cstheme="minorHAnsi"/>
        </w:rPr>
      </w:pPr>
      <w:r w:rsidRPr="00163DE9">
        <w:rPr>
          <w:rFonts w:cstheme="minorHAnsi"/>
        </w:rPr>
        <w:t>A slippage variance of -£2.987m has been reported. This is mainly due to unexpected ground condition issues slowing the progress on the Corporation Street phase of the project. This in turn delayed the work on the more spend intensive phases of construction on transforming ringway as early as we had planned. Delays in the agreement on the revised spend profile for Cottam Parkway and the technology package were also an issue.</w:t>
      </w:r>
      <w:r>
        <w:rPr>
          <w:rFonts w:cstheme="minorHAnsi"/>
        </w:rPr>
        <w:t xml:space="preserve"> With these issues now resolved, work is expected to catch up within 2022/23 and fall in line with the revised spend profile agreed with the department for transport (DfT).</w:t>
      </w:r>
    </w:p>
    <w:bookmarkEnd w:id="20"/>
    <w:p w14:paraId="05A83365" w14:textId="77777777" w:rsidR="009175C7" w:rsidRDefault="009175C7" w:rsidP="009175C7">
      <w:pPr>
        <w:spacing w:after="0"/>
        <w:rPr>
          <w:rFonts w:cstheme="minorHAnsi"/>
        </w:rPr>
      </w:pPr>
    </w:p>
    <w:p w14:paraId="20C86A95" w14:textId="77777777" w:rsidR="00D10794" w:rsidRDefault="00D10794" w:rsidP="00D10794">
      <w:pPr>
        <w:autoSpaceDE/>
        <w:autoSpaceDN/>
        <w:adjustRightInd/>
        <w:spacing w:after="0"/>
        <w:jc w:val="left"/>
        <w:rPr>
          <w:rFonts w:cs="Arial"/>
          <w:b/>
          <w:bCs/>
          <w:highlight w:val="yellow"/>
        </w:rPr>
      </w:pPr>
    </w:p>
    <w:p w14:paraId="43AD9525" w14:textId="77777777" w:rsidR="00B61F72" w:rsidRDefault="00B61F72" w:rsidP="00D10794">
      <w:pPr>
        <w:autoSpaceDE/>
        <w:autoSpaceDN/>
        <w:adjustRightInd/>
        <w:spacing w:after="0"/>
        <w:jc w:val="left"/>
        <w:rPr>
          <w:rFonts w:cs="Arial"/>
          <w:b/>
          <w:bCs/>
          <w:highlight w:val="yellow"/>
        </w:rPr>
      </w:pPr>
    </w:p>
    <w:p w14:paraId="753F7D10" w14:textId="77777777" w:rsidR="005B219B" w:rsidRDefault="005B219B" w:rsidP="00D10794">
      <w:pPr>
        <w:autoSpaceDE/>
        <w:autoSpaceDN/>
        <w:adjustRightInd/>
        <w:spacing w:after="0"/>
        <w:jc w:val="left"/>
        <w:rPr>
          <w:rFonts w:cs="Arial"/>
          <w:b/>
          <w:bCs/>
          <w:highlight w:val="yellow"/>
        </w:rPr>
      </w:pPr>
    </w:p>
    <w:p w14:paraId="1FADB9BD" w14:textId="77777777" w:rsidR="005B219B" w:rsidRDefault="005B219B" w:rsidP="00D10794">
      <w:pPr>
        <w:autoSpaceDE/>
        <w:autoSpaceDN/>
        <w:adjustRightInd/>
        <w:spacing w:after="0"/>
        <w:jc w:val="left"/>
        <w:rPr>
          <w:rFonts w:cs="Arial"/>
          <w:b/>
          <w:bCs/>
          <w:highlight w:val="yellow"/>
        </w:rPr>
      </w:pPr>
    </w:p>
    <w:p w14:paraId="66BB42ED" w14:textId="77777777" w:rsidR="005B219B" w:rsidRDefault="005B219B" w:rsidP="00D10794">
      <w:pPr>
        <w:autoSpaceDE/>
        <w:autoSpaceDN/>
        <w:adjustRightInd/>
        <w:spacing w:after="0"/>
        <w:jc w:val="left"/>
        <w:rPr>
          <w:rFonts w:cs="Arial"/>
          <w:b/>
          <w:bCs/>
          <w:highlight w:val="yellow"/>
        </w:rPr>
      </w:pPr>
    </w:p>
    <w:p w14:paraId="390371F0" w14:textId="77777777" w:rsidR="005B219B" w:rsidRDefault="005B219B" w:rsidP="00D10794">
      <w:pPr>
        <w:autoSpaceDE/>
        <w:autoSpaceDN/>
        <w:adjustRightInd/>
        <w:spacing w:after="0"/>
        <w:jc w:val="left"/>
        <w:rPr>
          <w:rFonts w:cs="Arial"/>
          <w:b/>
          <w:bCs/>
          <w:highlight w:val="yellow"/>
        </w:rPr>
      </w:pPr>
    </w:p>
    <w:p w14:paraId="5436D6FB" w14:textId="77777777" w:rsidR="005B219B" w:rsidRDefault="005B219B" w:rsidP="00D10794">
      <w:pPr>
        <w:autoSpaceDE/>
        <w:autoSpaceDN/>
        <w:adjustRightInd/>
        <w:spacing w:after="0"/>
        <w:jc w:val="left"/>
        <w:rPr>
          <w:rFonts w:cs="Arial"/>
          <w:b/>
          <w:bCs/>
          <w:highlight w:val="yellow"/>
        </w:rPr>
      </w:pPr>
    </w:p>
    <w:p w14:paraId="56E2505F" w14:textId="77777777" w:rsidR="005B219B" w:rsidRDefault="005B219B" w:rsidP="00D10794">
      <w:pPr>
        <w:autoSpaceDE/>
        <w:autoSpaceDN/>
        <w:adjustRightInd/>
        <w:spacing w:after="0"/>
        <w:jc w:val="left"/>
        <w:rPr>
          <w:rFonts w:cs="Arial"/>
          <w:b/>
          <w:bCs/>
          <w:highlight w:val="yellow"/>
        </w:rPr>
      </w:pPr>
    </w:p>
    <w:p w14:paraId="433229A6" w14:textId="77777777" w:rsidR="005B219B" w:rsidRDefault="005B219B" w:rsidP="00D10794">
      <w:pPr>
        <w:autoSpaceDE/>
        <w:autoSpaceDN/>
        <w:adjustRightInd/>
        <w:spacing w:after="0"/>
        <w:jc w:val="left"/>
        <w:rPr>
          <w:rFonts w:cs="Arial"/>
          <w:b/>
          <w:bCs/>
          <w:highlight w:val="yellow"/>
        </w:rPr>
      </w:pPr>
    </w:p>
    <w:p w14:paraId="767496AC" w14:textId="77777777" w:rsidR="005B219B" w:rsidRDefault="005B219B" w:rsidP="00D10794">
      <w:pPr>
        <w:autoSpaceDE/>
        <w:autoSpaceDN/>
        <w:adjustRightInd/>
        <w:spacing w:after="0"/>
        <w:jc w:val="left"/>
        <w:rPr>
          <w:rFonts w:cs="Arial"/>
          <w:b/>
          <w:bCs/>
          <w:highlight w:val="yellow"/>
        </w:rPr>
      </w:pPr>
    </w:p>
    <w:p w14:paraId="71C54EB9" w14:textId="77777777" w:rsidR="005B219B" w:rsidRDefault="005B219B" w:rsidP="00D10794">
      <w:pPr>
        <w:autoSpaceDE/>
        <w:autoSpaceDN/>
        <w:adjustRightInd/>
        <w:spacing w:after="0"/>
        <w:jc w:val="left"/>
        <w:rPr>
          <w:rFonts w:cs="Arial"/>
          <w:b/>
          <w:bCs/>
          <w:highlight w:val="yellow"/>
        </w:rPr>
      </w:pPr>
    </w:p>
    <w:p w14:paraId="396A145B" w14:textId="77777777" w:rsidR="005B219B" w:rsidRDefault="005B219B" w:rsidP="00D10794">
      <w:pPr>
        <w:autoSpaceDE/>
        <w:autoSpaceDN/>
        <w:adjustRightInd/>
        <w:spacing w:after="0"/>
        <w:jc w:val="left"/>
        <w:rPr>
          <w:rFonts w:cs="Arial"/>
          <w:b/>
          <w:bCs/>
          <w:highlight w:val="yellow"/>
        </w:rPr>
      </w:pPr>
    </w:p>
    <w:p w14:paraId="359BB85B" w14:textId="77777777" w:rsidR="005B219B" w:rsidRDefault="005B219B" w:rsidP="00D10794">
      <w:pPr>
        <w:autoSpaceDE/>
        <w:autoSpaceDN/>
        <w:adjustRightInd/>
        <w:spacing w:after="0"/>
        <w:jc w:val="left"/>
        <w:rPr>
          <w:rFonts w:cs="Arial"/>
          <w:b/>
          <w:bCs/>
          <w:highlight w:val="yellow"/>
        </w:rPr>
      </w:pPr>
    </w:p>
    <w:p w14:paraId="31FC57F9" w14:textId="77777777" w:rsidR="005B219B" w:rsidRDefault="005B219B" w:rsidP="00D10794">
      <w:pPr>
        <w:autoSpaceDE/>
        <w:autoSpaceDN/>
        <w:adjustRightInd/>
        <w:spacing w:after="0"/>
        <w:jc w:val="left"/>
        <w:rPr>
          <w:rFonts w:cs="Arial"/>
          <w:b/>
          <w:bCs/>
          <w:highlight w:val="yellow"/>
        </w:rPr>
      </w:pPr>
    </w:p>
    <w:p w14:paraId="38C7A7ED" w14:textId="77777777" w:rsidR="005B219B" w:rsidRDefault="005B219B" w:rsidP="00D10794">
      <w:pPr>
        <w:autoSpaceDE/>
        <w:autoSpaceDN/>
        <w:adjustRightInd/>
        <w:spacing w:after="0"/>
        <w:jc w:val="left"/>
        <w:rPr>
          <w:rFonts w:cs="Arial"/>
          <w:b/>
          <w:bCs/>
          <w:highlight w:val="yellow"/>
        </w:rPr>
      </w:pPr>
    </w:p>
    <w:p w14:paraId="5E81F8FA" w14:textId="77777777" w:rsidR="005B219B" w:rsidRDefault="005B219B" w:rsidP="00D10794">
      <w:pPr>
        <w:autoSpaceDE/>
        <w:autoSpaceDN/>
        <w:adjustRightInd/>
        <w:spacing w:after="0"/>
        <w:jc w:val="left"/>
        <w:rPr>
          <w:rFonts w:cs="Arial"/>
          <w:b/>
          <w:bCs/>
          <w:highlight w:val="yellow"/>
        </w:rPr>
      </w:pPr>
    </w:p>
    <w:p w14:paraId="3B396C68" w14:textId="77777777" w:rsidR="005B219B" w:rsidRDefault="005B219B" w:rsidP="00D10794">
      <w:pPr>
        <w:autoSpaceDE/>
        <w:autoSpaceDN/>
        <w:adjustRightInd/>
        <w:spacing w:after="0"/>
        <w:jc w:val="left"/>
        <w:rPr>
          <w:rFonts w:cs="Arial"/>
          <w:b/>
          <w:bCs/>
          <w:highlight w:val="yellow"/>
        </w:rPr>
      </w:pPr>
    </w:p>
    <w:p w14:paraId="2500A69A" w14:textId="77777777" w:rsidR="005B219B" w:rsidRDefault="005B219B" w:rsidP="00D10794">
      <w:pPr>
        <w:autoSpaceDE/>
        <w:autoSpaceDN/>
        <w:adjustRightInd/>
        <w:spacing w:after="0"/>
        <w:jc w:val="left"/>
        <w:rPr>
          <w:rFonts w:cs="Arial"/>
          <w:b/>
          <w:bCs/>
          <w:highlight w:val="yellow"/>
        </w:rPr>
      </w:pPr>
    </w:p>
    <w:p w14:paraId="25042D1A" w14:textId="77777777" w:rsidR="005B219B" w:rsidRDefault="005B219B" w:rsidP="00D10794">
      <w:pPr>
        <w:autoSpaceDE/>
        <w:autoSpaceDN/>
        <w:adjustRightInd/>
        <w:spacing w:after="0"/>
        <w:jc w:val="left"/>
        <w:rPr>
          <w:rFonts w:cs="Arial"/>
          <w:b/>
          <w:bCs/>
          <w:highlight w:val="yellow"/>
        </w:rPr>
      </w:pPr>
    </w:p>
    <w:p w14:paraId="2C42F90A" w14:textId="77777777" w:rsidR="005B219B" w:rsidRDefault="005B219B" w:rsidP="00D10794">
      <w:pPr>
        <w:autoSpaceDE/>
        <w:autoSpaceDN/>
        <w:adjustRightInd/>
        <w:spacing w:after="0"/>
        <w:jc w:val="left"/>
        <w:rPr>
          <w:rFonts w:cs="Arial"/>
          <w:b/>
          <w:bCs/>
          <w:highlight w:val="yellow"/>
        </w:rPr>
      </w:pPr>
    </w:p>
    <w:p w14:paraId="2058D01F" w14:textId="77777777" w:rsidR="005B219B" w:rsidRDefault="005B219B" w:rsidP="00D10794">
      <w:pPr>
        <w:autoSpaceDE/>
        <w:autoSpaceDN/>
        <w:adjustRightInd/>
        <w:spacing w:after="0"/>
        <w:jc w:val="left"/>
        <w:rPr>
          <w:rFonts w:cs="Arial"/>
          <w:b/>
          <w:bCs/>
          <w:highlight w:val="yellow"/>
        </w:rPr>
      </w:pPr>
    </w:p>
    <w:p w14:paraId="0A3506CA" w14:textId="77777777" w:rsidR="005B219B" w:rsidRDefault="005B219B" w:rsidP="00D10794">
      <w:pPr>
        <w:autoSpaceDE/>
        <w:autoSpaceDN/>
        <w:adjustRightInd/>
        <w:spacing w:after="0"/>
        <w:jc w:val="left"/>
        <w:rPr>
          <w:rFonts w:cs="Arial"/>
          <w:b/>
          <w:bCs/>
          <w:highlight w:val="yellow"/>
        </w:rPr>
      </w:pPr>
    </w:p>
    <w:p w14:paraId="2F521879" w14:textId="77777777" w:rsidR="005B219B" w:rsidRDefault="005B219B" w:rsidP="00D10794">
      <w:pPr>
        <w:autoSpaceDE/>
        <w:autoSpaceDN/>
        <w:adjustRightInd/>
        <w:spacing w:after="0"/>
        <w:jc w:val="left"/>
        <w:rPr>
          <w:rFonts w:cs="Arial"/>
          <w:b/>
          <w:bCs/>
          <w:highlight w:val="yellow"/>
        </w:rPr>
      </w:pPr>
    </w:p>
    <w:p w14:paraId="7B81B06C" w14:textId="77777777" w:rsidR="005B219B" w:rsidRDefault="005B219B" w:rsidP="00D10794">
      <w:pPr>
        <w:autoSpaceDE/>
        <w:autoSpaceDN/>
        <w:adjustRightInd/>
        <w:spacing w:after="0"/>
        <w:jc w:val="left"/>
        <w:rPr>
          <w:rFonts w:cs="Arial"/>
          <w:b/>
          <w:bCs/>
          <w:highlight w:val="yellow"/>
        </w:rPr>
      </w:pPr>
    </w:p>
    <w:p w14:paraId="395A109A" w14:textId="77777777" w:rsidR="005B219B" w:rsidRDefault="005B219B" w:rsidP="00D10794">
      <w:pPr>
        <w:autoSpaceDE/>
        <w:autoSpaceDN/>
        <w:adjustRightInd/>
        <w:spacing w:after="0"/>
        <w:jc w:val="left"/>
        <w:rPr>
          <w:rFonts w:cs="Arial"/>
          <w:b/>
          <w:bCs/>
          <w:highlight w:val="yellow"/>
        </w:rPr>
      </w:pPr>
    </w:p>
    <w:p w14:paraId="4F3BB70A" w14:textId="77777777" w:rsidR="005B219B" w:rsidRDefault="005B219B" w:rsidP="00D10794">
      <w:pPr>
        <w:autoSpaceDE/>
        <w:autoSpaceDN/>
        <w:adjustRightInd/>
        <w:spacing w:after="0"/>
        <w:jc w:val="left"/>
        <w:rPr>
          <w:rFonts w:cs="Arial"/>
          <w:b/>
          <w:bCs/>
          <w:highlight w:val="yellow"/>
        </w:rPr>
      </w:pPr>
    </w:p>
    <w:p w14:paraId="40E9E555" w14:textId="77777777" w:rsidR="005B219B" w:rsidRDefault="005B219B" w:rsidP="00D10794">
      <w:pPr>
        <w:autoSpaceDE/>
        <w:autoSpaceDN/>
        <w:adjustRightInd/>
        <w:spacing w:after="0"/>
        <w:jc w:val="left"/>
        <w:rPr>
          <w:rFonts w:cs="Arial"/>
          <w:b/>
          <w:bCs/>
          <w:highlight w:val="yellow"/>
        </w:rPr>
      </w:pPr>
    </w:p>
    <w:p w14:paraId="680FBA87" w14:textId="77777777" w:rsidR="005B219B" w:rsidRDefault="005B219B" w:rsidP="00D10794">
      <w:pPr>
        <w:autoSpaceDE/>
        <w:autoSpaceDN/>
        <w:adjustRightInd/>
        <w:spacing w:after="0"/>
        <w:jc w:val="left"/>
        <w:rPr>
          <w:rFonts w:cs="Arial"/>
          <w:b/>
          <w:bCs/>
          <w:highlight w:val="yellow"/>
        </w:rPr>
      </w:pPr>
    </w:p>
    <w:p w14:paraId="3E73C647" w14:textId="77777777" w:rsidR="005B219B" w:rsidRDefault="005B219B" w:rsidP="00D10794">
      <w:pPr>
        <w:autoSpaceDE/>
        <w:autoSpaceDN/>
        <w:adjustRightInd/>
        <w:spacing w:after="0"/>
        <w:jc w:val="left"/>
        <w:rPr>
          <w:rFonts w:cs="Arial"/>
          <w:b/>
          <w:bCs/>
          <w:highlight w:val="yellow"/>
        </w:rPr>
      </w:pPr>
    </w:p>
    <w:p w14:paraId="7A8A6795" w14:textId="77777777" w:rsidR="005B219B" w:rsidRDefault="005B219B" w:rsidP="00D10794">
      <w:pPr>
        <w:autoSpaceDE/>
        <w:autoSpaceDN/>
        <w:adjustRightInd/>
        <w:spacing w:after="0"/>
        <w:jc w:val="left"/>
        <w:rPr>
          <w:rFonts w:cs="Arial"/>
          <w:b/>
          <w:bCs/>
          <w:highlight w:val="yellow"/>
        </w:rPr>
      </w:pPr>
    </w:p>
    <w:p w14:paraId="2AB4BE82" w14:textId="77777777" w:rsidR="005B219B" w:rsidRDefault="005B219B" w:rsidP="00D10794">
      <w:pPr>
        <w:autoSpaceDE/>
        <w:autoSpaceDN/>
        <w:adjustRightInd/>
        <w:spacing w:after="0"/>
        <w:jc w:val="left"/>
        <w:rPr>
          <w:rFonts w:cs="Arial"/>
          <w:b/>
          <w:bCs/>
          <w:highlight w:val="yellow"/>
        </w:rPr>
      </w:pPr>
    </w:p>
    <w:p w14:paraId="72FD52F8" w14:textId="77777777" w:rsidR="005B219B" w:rsidRDefault="005B219B" w:rsidP="00D10794">
      <w:pPr>
        <w:autoSpaceDE/>
        <w:autoSpaceDN/>
        <w:adjustRightInd/>
        <w:spacing w:after="0"/>
        <w:jc w:val="left"/>
        <w:rPr>
          <w:rFonts w:cs="Arial"/>
          <w:b/>
          <w:bCs/>
          <w:highlight w:val="yellow"/>
        </w:rPr>
      </w:pPr>
    </w:p>
    <w:p w14:paraId="7B64FAD0" w14:textId="77777777" w:rsidR="005B219B" w:rsidRDefault="005B219B" w:rsidP="00D10794">
      <w:pPr>
        <w:autoSpaceDE/>
        <w:autoSpaceDN/>
        <w:adjustRightInd/>
        <w:spacing w:after="0"/>
        <w:jc w:val="left"/>
        <w:rPr>
          <w:rFonts w:cs="Arial"/>
          <w:b/>
          <w:bCs/>
          <w:highlight w:val="yellow"/>
        </w:rPr>
      </w:pPr>
    </w:p>
    <w:p w14:paraId="6BF6EE2D" w14:textId="77777777" w:rsidR="005B219B" w:rsidRDefault="005B219B" w:rsidP="00D10794">
      <w:pPr>
        <w:autoSpaceDE/>
        <w:autoSpaceDN/>
        <w:adjustRightInd/>
        <w:spacing w:after="0"/>
        <w:jc w:val="left"/>
        <w:rPr>
          <w:rFonts w:cs="Arial"/>
          <w:b/>
          <w:bCs/>
          <w:highlight w:val="yellow"/>
        </w:rPr>
      </w:pPr>
    </w:p>
    <w:p w14:paraId="7B1C34D9" w14:textId="77777777" w:rsidR="005B219B" w:rsidRDefault="005B219B" w:rsidP="00D10794">
      <w:pPr>
        <w:autoSpaceDE/>
        <w:autoSpaceDN/>
        <w:adjustRightInd/>
        <w:spacing w:after="0"/>
        <w:jc w:val="left"/>
        <w:rPr>
          <w:rFonts w:cs="Arial"/>
          <w:b/>
          <w:bCs/>
          <w:highlight w:val="yellow"/>
        </w:rPr>
      </w:pPr>
    </w:p>
    <w:p w14:paraId="04245675" w14:textId="77777777" w:rsidR="005B219B" w:rsidRDefault="005B219B" w:rsidP="00D10794">
      <w:pPr>
        <w:autoSpaceDE/>
        <w:autoSpaceDN/>
        <w:adjustRightInd/>
        <w:spacing w:after="0"/>
        <w:jc w:val="left"/>
        <w:rPr>
          <w:rFonts w:cs="Arial"/>
          <w:b/>
          <w:bCs/>
          <w:highlight w:val="yellow"/>
        </w:rPr>
      </w:pPr>
    </w:p>
    <w:p w14:paraId="01157018" w14:textId="77777777" w:rsidR="005B219B" w:rsidRDefault="005B219B" w:rsidP="00D10794">
      <w:pPr>
        <w:autoSpaceDE/>
        <w:autoSpaceDN/>
        <w:adjustRightInd/>
        <w:spacing w:after="0"/>
        <w:jc w:val="left"/>
        <w:rPr>
          <w:rFonts w:cs="Arial"/>
          <w:b/>
          <w:bCs/>
          <w:highlight w:val="yellow"/>
        </w:rPr>
      </w:pPr>
    </w:p>
    <w:p w14:paraId="2E79F4EE" w14:textId="77777777" w:rsidR="005B219B" w:rsidRDefault="005B219B" w:rsidP="00D10794">
      <w:pPr>
        <w:autoSpaceDE/>
        <w:autoSpaceDN/>
        <w:adjustRightInd/>
        <w:spacing w:after="0"/>
        <w:jc w:val="left"/>
        <w:rPr>
          <w:rFonts w:cs="Arial"/>
          <w:b/>
          <w:bCs/>
          <w:highlight w:val="yellow"/>
        </w:rPr>
      </w:pPr>
    </w:p>
    <w:p w14:paraId="17B60862" w14:textId="77777777" w:rsidR="005B219B" w:rsidRDefault="005B219B" w:rsidP="00D10794">
      <w:pPr>
        <w:autoSpaceDE/>
        <w:autoSpaceDN/>
        <w:adjustRightInd/>
        <w:spacing w:after="0"/>
        <w:jc w:val="left"/>
        <w:rPr>
          <w:rFonts w:cs="Arial"/>
          <w:b/>
          <w:bCs/>
          <w:highlight w:val="yellow"/>
        </w:rPr>
      </w:pPr>
    </w:p>
    <w:p w14:paraId="11EA34FC" w14:textId="77777777" w:rsidR="005B219B" w:rsidRPr="00812801" w:rsidRDefault="005B219B" w:rsidP="00D10794">
      <w:pPr>
        <w:autoSpaceDE/>
        <w:autoSpaceDN/>
        <w:adjustRightInd/>
        <w:spacing w:after="0"/>
        <w:jc w:val="left"/>
        <w:rPr>
          <w:rFonts w:cs="Arial"/>
          <w:b/>
          <w:bCs/>
          <w:highlight w:val="yellow"/>
        </w:rPr>
      </w:pPr>
    </w:p>
    <w:p w14:paraId="60FF546E" w14:textId="77777777" w:rsidR="00D10794" w:rsidRPr="00812801" w:rsidRDefault="00D10794" w:rsidP="00D10794">
      <w:pPr>
        <w:autoSpaceDE/>
        <w:autoSpaceDN/>
        <w:adjustRightInd/>
        <w:spacing w:after="0"/>
        <w:jc w:val="left"/>
        <w:rPr>
          <w:rFonts w:cs="Arial"/>
          <w:b/>
          <w:bCs/>
          <w:highlight w:val="yellow"/>
        </w:rPr>
      </w:pPr>
    </w:p>
    <w:p w14:paraId="3E56E93C" w14:textId="77777777" w:rsidR="00D10794" w:rsidRDefault="00162F2E" w:rsidP="00D10794">
      <w:pPr>
        <w:autoSpaceDE/>
        <w:autoSpaceDN/>
        <w:adjustRightInd/>
        <w:spacing w:after="0"/>
        <w:jc w:val="left"/>
        <w:rPr>
          <w:rFonts w:cs="Arial"/>
          <w:b/>
          <w:bCs/>
        </w:rPr>
      </w:pPr>
      <w:r w:rsidRPr="002D194F">
        <w:rPr>
          <w:rFonts w:cs="Arial"/>
          <w:b/>
          <w:bCs/>
        </w:rPr>
        <w:t xml:space="preserve">Section D – County Fund Balance, Reserves and Provisions </w:t>
      </w:r>
    </w:p>
    <w:p w14:paraId="273E8481" w14:textId="77777777" w:rsidR="00F0308C" w:rsidRDefault="00162F2E" w:rsidP="00F828C4">
      <w:pPr>
        <w:tabs>
          <w:tab w:val="left" w:pos="851"/>
          <w:tab w:val="left" w:pos="1927"/>
        </w:tabs>
        <w:spacing w:after="0"/>
        <w:ind w:right="-46"/>
        <w:rPr>
          <w:rFonts w:cs="Arial"/>
          <w:b/>
          <w:bCs/>
        </w:rPr>
      </w:pPr>
      <w:r w:rsidRPr="002D194F">
        <w:rPr>
          <w:rFonts w:cs="Arial"/>
          <w:b/>
          <w:bCs/>
        </w:rPr>
        <w:t xml:space="preserve">Revenue Reserves as </w:t>
      </w:r>
      <w:bookmarkStart w:id="21" w:name="_Int_qAxGRYTn"/>
      <w:r w:rsidRPr="002D194F">
        <w:rPr>
          <w:rFonts w:cs="Arial"/>
          <w:b/>
          <w:bCs/>
        </w:rPr>
        <w:t>at</w:t>
      </w:r>
      <w:bookmarkEnd w:id="21"/>
      <w:r w:rsidRPr="002D194F">
        <w:rPr>
          <w:rFonts w:cs="Arial"/>
          <w:b/>
          <w:bCs/>
        </w:rPr>
        <w:t xml:space="preserve"> 31</w:t>
      </w:r>
      <w:r w:rsidRPr="002D194F">
        <w:rPr>
          <w:rFonts w:cs="Arial"/>
          <w:b/>
          <w:bCs/>
          <w:vertAlign w:val="superscript"/>
        </w:rPr>
        <w:t>st</w:t>
      </w:r>
      <w:r w:rsidRPr="002D194F">
        <w:rPr>
          <w:rFonts w:cs="Arial"/>
          <w:b/>
          <w:bCs/>
        </w:rPr>
        <w:t xml:space="preserve"> March 2022</w:t>
      </w:r>
    </w:p>
    <w:p w14:paraId="246E1D4F" w14:textId="77777777" w:rsidR="005B219B" w:rsidRDefault="005B219B" w:rsidP="00F0308C">
      <w:pPr>
        <w:tabs>
          <w:tab w:val="left" w:pos="1447"/>
          <w:tab w:val="left" w:pos="1927"/>
        </w:tabs>
        <w:spacing w:after="0"/>
        <w:ind w:right="-46"/>
        <w:rPr>
          <w:rFonts w:cs="Arial"/>
          <w:bCs/>
        </w:rPr>
      </w:pPr>
    </w:p>
    <w:p w14:paraId="2F672E60" w14:textId="77777777" w:rsidR="00F0308C" w:rsidRPr="002D194F" w:rsidRDefault="00162F2E" w:rsidP="00F0308C">
      <w:pPr>
        <w:tabs>
          <w:tab w:val="left" w:pos="1447"/>
          <w:tab w:val="left" w:pos="1927"/>
        </w:tabs>
        <w:spacing w:after="0"/>
        <w:ind w:right="-46"/>
        <w:rPr>
          <w:rFonts w:cs="Arial"/>
          <w:bCs/>
        </w:rPr>
      </w:pPr>
      <w:r w:rsidRPr="002D194F">
        <w:rPr>
          <w:rFonts w:cs="Arial"/>
          <w:bCs/>
        </w:rPr>
        <w:t xml:space="preserve">Table 4 below shows the summary position for revenue reserves as </w:t>
      </w:r>
      <w:bookmarkStart w:id="22" w:name="_Int_PuKWaXFt"/>
      <w:r w:rsidRPr="002D194F">
        <w:rPr>
          <w:rFonts w:cs="Arial"/>
          <w:bCs/>
        </w:rPr>
        <w:t>at</w:t>
      </w:r>
      <w:bookmarkEnd w:id="22"/>
      <w:r w:rsidRPr="002D194F">
        <w:rPr>
          <w:rFonts w:cs="Arial"/>
          <w:bCs/>
        </w:rPr>
        <w:t xml:space="preserve"> 31</w:t>
      </w:r>
      <w:r w:rsidRPr="002D194F">
        <w:rPr>
          <w:rFonts w:cs="Arial"/>
          <w:bCs/>
          <w:vertAlign w:val="superscript"/>
        </w:rPr>
        <w:t>st</w:t>
      </w:r>
      <w:r w:rsidRPr="002D194F">
        <w:rPr>
          <w:rFonts w:cs="Arial"/>
          <w:bCs/>
        </w:rPr>
        <w:t xml:space="preserve"> March 202</w:t>
      </w:r>
      <w:r>
        <w:rPr>
          <w:rFonts w:cs="Arial"/>
          <w:bCs/>
        </w:rPr>
        <w:t>2</w:t>
      </w:r>
      <w:r w:rsidRPr="002D194F">
        <w:rPr>
          <w:rFonts w:cs="Arial"/>
          <w:bCs/>
        </w:rPr>
        <w:t>:</w:t>
      </w:r>
    </w:p>
    <w:p w14:paraId="246AE814" w14:textId="77777777" w:rsidR="00F0308C" w:rsidRPr="002D194F" w:rsidRDefault="00F0308C" w:rsidP="00F0308C">
      <w:pPr>
        <w:tabs>
          <w:tab w:val="left" w:pos="1447"/>
          <w:tab w:val="left" w:pos="1927"/>
        </w:tabs>
        <w:spacing w:after="0"/>
        <w:ind w:right="-46"/>
        <w:rPr>
          <w:rFonts w:cs="Arial"/>
          <w:bCs/>
        </w:rPr>
      </w:pPr>
    </w:p>
    <w:p w14:paraId="3455FA85" w14:textId="77777777" w:rsidR="00F828C4" w:rsidRDefault="00162F2E" w:rsidP="00F828C4">
      <w:pPr>
        <w:tabs>
          <w:tab w:val="left" w:pos="851"/>
          <w:tab w:val="left" w:pos="1927"/>
        </w:tabs>
        <w:spacing w:after="0"/>
        <w:ind w:right="-46"/>
        <w:rPr>
          <w:rFonts w:cs="Arial"/>
        </w:rPr>
      </w:pPr>
      <w:r>
        <w:rPr>
          <w:rFonts w:cs="Arial"/>
          <w:b/>
          <w:bCs/>
        </w:rPr>
        <w:t xml:space="preserve"> </w:t>
      </w:r>
      <w:r w:rsidR="00F0308C" w:rsidRPr="00F0308C">
        <w:rPr>
          <w:rFonts w:cs="Arial"/>
          <w:i/>
          <w:iCs/>
        </w:rPr>
        <w:t>T</w:t>
      </w:r>
      <w:r w:rsidRPr="00F0308C">
        <w:rPr>
          <w:rFonts w:cs="Arial"/>
          <w:i/>
          <w:iCs/>
        </w:rPr>
        <w:t>able 4</w:t>
      </w:r>
      <w:r w:rsidR="008312A1">
        <w:rPr>
          <w:rFonts w:cs="Arial"/>
          <w:i/>
          <w:iCs/>
        </w:rPr>
        <w:t xml:space="preserve"> </w:t>
      </w:r>
    </w:p>
    <w:p w14:paraId="61787D15" w14:textId="77777777" w:rsidR="00B61F72" w:rsidRPr="002D194F" w:rsidRDefault="00B61F72" w:rsidP="00D10794">
      <w:pPr>
        <w:autoSpaceDE/>
        <w:autoSpaceDN/>
        <w:adjustRightInd/>
        <w:spacing w:after="0"/>
        <w:jc w:val="left"/>
        <w:rPr>
          <w:rFonts w:cs="Arial"/>
          <w:b/>
          <w:bCs/>
        </w:rPr>
      </w:pPr>
    </w:p>
    <w:p w14:paraId="66637461" w14:textId="77777777" w:rsidR="00D10794" w:rsidRPr="00812801" w:rsidRDefault="00162F2E" w:rsidP="00D10794">
      <w:pPr>
        <w:tabs>
          <w:tab w:val="left" w:pos="1447"/>
          <w:tab w:val="left" w:pos="1927"/>
        </w:tabs>
        <w:spacing w:after="0"/>
        <w:ind w:right="-46"/>
        <w:rPr>
          <w:rFonts w:cs="Arial"/>
          <w:b/>
          <w:bCs/>
          <w:highlight w:val="yellow"/>
        </w:rPr>
      </w:pPr>
      <w:r w:rsidRPr="009B5202">
        <w:rPr>
          <w:noProof/>
        </w:rPr>
        <w:drawing>
          <wp:inline distT="0" distB="0" distL="0" distR="0" wp14:anchorId="685D7B8F" wp14:editId="655A0339">
            <wp:extent cx="5914664" cy="523097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96439"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21553" cy="5237065"/>
                    </a:xfrm>
                    <a:prstGeom prst="rect">
                      <a:avLst/>
                    </a:prstGeom>
                    <a:noFill/>
                    <a:ln>
                      <a:noFill/>
                    </a:ln>
                  </pic:spPr>
                </pic:pic>
              </a:graphicData>
            </a:graphic>
          </wp:inline>
        </w:drawing>
      </w:r>
    </w:p>
    <w:p w14:paraId="6545EFB5" w14:textId="77777777" w:rsidR="00A15F93" w:rsidRDefault="00A15F93" w:rsidP="00D10794">
      <w:pPr>
        <w:spacing w:after="0"/>
        <w:rPr>
          <w:i/>
          <w:u w:val="single"/>
        </w:rPr>
      </w:pPr>
    </w:p>
    <w:p w14:paraId="4709D62F" w14:textId="77777777" w:rsidR="00D10794" w:rsidRPr="00FF2AD3" w:rsidRDefault="00162F2E" w:rsidP="00162F2E">
      <w:pPr>
        <w:spacing w:after="0"/>
        <w:ind w:right="-24"/>
        <w:rPr>
          <w:rFonts w:cs="Arial"/>
        </w:rPr>
      </w:pPr>
      <w:r w:rsidRPr="002D194F">
        <w:rPr>
          <w:rFonts w:cs="Arial"/>
        </w:rPr>
        <w:t xml:space="preserve">The County Fund shown at the top of Table </w:t>
      </w:r>
      <w:r w:rsidR="00B12B6D" w:rsidRPr="002D194F">
        <w:rPr>
          <w:rFonts w:cs="Arial"/>
        </w:rPr>
        <w:t>4</w:t>
      </w:r>
      <w:r w:rsidRPr="002D194F">
        <w:rPr>
          <w:rFonts w:cs="Arial"/>
        </w:rPr>
        <w:t xml:space="preserve"> is the balance set aside to cover the authority against a serious emergency situation (e.g</w:t>
      </w:r>
      <w:r w:rsidR="00C6447B" w:rsidRPr="002D194F">
        <w:rPr>
          <w:rFonts w:cs="Arial"/>
        </w:rPr>
        <w:t>.,</w:t>
      </w:r>
      <w:r w:rsidRPr="002D194F">
        <w:rPr>
          <w:rFonts w:cs="Arial"/>
        </w:rPr>
        <w:t xml:space="preserve"> widespread flooding</w:t>
      </w:r>
      <w:r w:rsidR="00C6447B" w:rsidRPr="002D194F">
        <w:rPr>
          <w:rFonts w:cs="Arial"/>
        </w:rPr>
        <w:t>),</w:t>
      </w:r>
      <w:r w:rsidRPr="002D194F">
        <w:rPr>
          <w:rFonts w:cs="Arial"/>
        </w:rPr>
        <w:t xml:space="preserve"> a critical and unexpected loss of income to the authority and for general cash flow purposes.  In considering these various factors the county council has a County Fund balance of which remains unchanged at </w:t>
      </w:r>
      <w:r w:rsidRPr="00FF2AD3">
        <w:rPr>
          <w:rFonts w:cs="Arial"/>
        </w:rPr>
        <w:t>£23.4</w:t>
      </w:r>
      <w:r w:rsidR="007D6D77">
        <w:rPr>
          <w:rFonts w:cs="Arial"/>
        </w:rPr>
        <w:t>37</w:t>
      </w:r>
      <w:r w:rsidRPr="00FF2AD3">
        <w:rPr>
          <w:rFonts w:cs="Arial"/>
        </w:rPr>
        <w:t xml:space="preserve">m at the end of </w:t>
      </w:r>
      <w:r w:rsidR="004F05D5" w:rsidRPr="00FF2AD3">
        <w:rPr>
          <w:rFonts w:cs="Arial"/>
        </w:rPr>
        <w:t>2021/22</w:t>
      </w:r>
      <w:r w:rsidRPr="00FF2AD3">
        <w:rPr>
          <w:rFonts w:cs="Arial"/>
        </w:rPr>
        <w:t xml:space="preserve">.  </w:t>
      </w:r>
    </w:p>
    <w:p w14:paraId="5F6AA456" w14:textId="77777777" w:rsidR="00D10794" w:rsidRPr="00812801" w:rsidRDefault="00D10794" w:rsidP="00162F2E">
      <w:pPr>
        <w:spacing w:after="0"/>
        <w:ind w:right="-24"/>
        <w:rPr>
          <w:rFonts w:cs="Arial"/>
          <w:highlight w:val="yellow"/>
        </w:rPr>
      </w:pPr>
    </w:p>
    <w:p w14:paraId="192F5A3A" w14:textId="77777777" w:rsidR="00D10794" w:rsidRPr="0081540A" w:rsidRDefault="00162F2E" w:rsidP="00162F2E">
      <w:pPr>
        <w:tabs>
          <w:tab w:val="left" w:pos="567"/>
          <w:tab w:val="left" w:pos="1134"/>
        </w:tabs>
        <w:spacing w:after="0"/>
        <w:rPr>
          <w:rFonts w:cs="Arial"/>
        </w:rPr>
      </w:pPr>
      <w:r w:rsidRPr="0081540A">
        <w:rPr>
          <w:rFonts w:cs="Arial"/>
        </w:rPr>
        <w:t>The table above shows that the forecast value at the end of 202</w:t>
      </w:r>
      <w:r w:rsidR="00847D92">
        <w:rPr>
          <w:rFonts w:cs="Arial"/>
        </w:rPr>
        <w:t>4</w:t>
      </w:r>
      <w:r w:rsidRPr="0081540A">
        <w:rPr>
          <w:rFonts w:cs="Arial"/>
        </w:rPr>
        <w:t>/2</w:t>
      </w:r>
      <w:r w:rsidR="00847D92">
        <w:rPr>
          <w:rFonts w:cs="Arial"/>
        </w:rPr>
        <w:t>5</w:t>
      </w:r>
      <w:r w:rsidRPr="0081540A">
        <w:rPr>
          <w:rFonts w:cs="Arial"/>
        </w:rPr>
        <w:t xml:space="preserve"> of the uncommitted Transitional Reserve following the </w:t>
      </w:r>
      <w:r w:rsidR="004F05D5" w:rsidRPr="0081540A">
        <w:rPr>
          <w:rFonts w:cs="Arial"/>
        </w:rPr>
        <w:t>2021/22</w:t>
      </w:r>
      <w:r w:rsidRPr="0081540A">
        <w:rPr>
          <w:rFonts w:cs="Arial"/>
        </w:rPr>
        <w:t xml:space="preserve"> outturn is £17</w:t>
      </w:r>
      <w:r w:rsidR="0081540A" w:rsidRPr="0081540A">
        <w:rPr>
          <w:rFonts w:cs="Arial"/>
        </w:rPr>
        <w:t>8</w:t>
      </w:r>
      <w:r w:rsidRPr="0081540A">
        <w:rPr>
          <w:rFonts w:cs="Arial"/>
        </w:rPr>
        <w:t>.</w:t>
      </w:r>
      <w:r w:rsidR="00FD6B5B" w:rsidRPr="0CFBF26B">
        <w:rPr>
          <w:rFonts w:cs="Arial"/>
        </w:rPr>
        <w:t>460m</w:t>
      </w:r>
      <w:r w:rsidRPr="0CFBF26B">
        <w:rPr>
          <w:rFonts w:cs="Arial"/>
        </w:rPr>
        <w:t>.</w:t>
      </w:r>
      <w:r w:rsidRPr="0081540A">
        <w:rPr>
          <w:rFonts w:cs="Arial"/>
        </w:rPr>
        <w:t xml:space="preserve"> This is a</w:t>
      </w:r>
      <w:r w:rsidR="006654C7">
        <w:rPr>
          <w:rFonts w:cs="Arial"/>
        </w:rPr>
        <w:t xml:space="preserve"> </w:t>
      </w:r>
      <w:r w:rsidR="00993C2F">
        <w:rPr>
          <w:rFonts w:cs="Arial"/>
        </w:rPr>
        <w:t>better</w:t>
      </w:r>
      <w:r w:rsidR="006654C7">
        <w:rPr>
          <w:rFonts w:cs="Arial"/>
        </w:rPr>
        <w:t xml:space="preserve"> </w:t>
      </w:r>
      <w:r w:rsidRPr="0081540A">
        <w:rPr>
          <w:rFonts w:cs="Arial"/>
        </w:rPr>
        <w:t xml:space="preserve">position </w:t>
      </w:r>
      <w:r w:rsidR="006654C7" w:rsidRPr="006445BF">
        <w:rPr>
          <w:rFonts w:cs="Arial"/>
        </w:rPr>
        <w:t>by</w:t>
      </w:r>
      <w:r w:rsidRPr="006445BF">
        <w:rPr>
          <w:rFonts w:cs="Arial"/>
        </w:rPr>
        <w:t xml:space="preserve"> </w:t>
      </w:r>
      <w:r w:rsidRPr="0CFBF26B">
        <w:rPr>
          <w:rFonts w:cs="Arial"/>
        </w:rPr>
        <w:t>£</w:t>
      </w:r>
      <w:r w:rsidR="006E6FB1" w:rsidRPr="0CFBF26B">
        <w:rPr>
          <w:rFonts w:cs="Arial"/>
        </w:rPr>
        <w:t>620,000</w:t>
      </w:r>
      <w:r w:rsidRPr="006445BF">
        <w:rPr>
          <w:rFonts w:cs="Arial"/>
        </w:rPr>
        <w:t xml:space="preserve"> compared</w:t>
      </w:r>
      <w:r w:rsidRPr="0081540A">
        <w:rPr>
          <w:rFonts w:cs="Arial"/>
        </w:rPr>
        <w:t xml:space="preserve"> to that reported to </w:t>
      </w:r>
      <w:r w:rsidR="00383AD7" w:rsidRPr="0CFBF26B">
        <w:rPr>
          <w:rFonts w:cs="Arial"/>
        </w:rPr>
        <w:t>Full</w:t>
      </w:r>
      <w:r w:rsidR="00383AD7">
        <w:rPr>
          <w:rFonts w:cs="Arial"/>
        </w:rPr>
        <w:t xml:space="preserve"> Council in February</w:t>
      </w:r>
      <w:r w:rsidRPr="0081540A">
        <w:rPr>
          <w:rFonts w:cs="Arial"/>
        </w:rPr>
        <w:t xml:space="preserve">, due to </w:t>
      </w:r>
      <w:r w:rsidR="00C6447B">
        <w:rPr>
          <w:rFonts w:cs="Arial"/>
        </w:rPr>
        <w:t>additional</w:t>
      </w:r>
      <w:r w:rsidRPr="0081540A">
        <w:rPr>
          <w:rFonts w:cs="Arial"/>
        </w:rPr>
        <w:t xml:space="preserve"> </w:t>
      </w:r>
      <w:r w:rsidR="009D3730">
        <w:rPr>
          <w:rFonts w:cs="Arial"/>
        </w:rPr>
        <w:t xml:space="preserve">contributions </w:t>
      </w:r>
      <w:r w:rsidR="007A78E0">
        <w:rPr>
          <w:rFonts w:cs="Arial"/>
        </w:rPr>
        <w:t xml:space="preserve">being made </w:t>
      </w:r>
      <w:r w:rsidR="00665801">
        <w:rPr>
          <w:rFonts w:cs="Arial"/>
        </w:rPr>
        <w:t xml:space="preserve">in 2021/22 offset by </w:t>
      </w:r>
      <w:r w:rsidRPr="0081540A">
        <w:rPr>
          <w:rFonts w:cs="Arial"/>
        </w:rPr>
        <w:t xml:space="preserve">an </w:t>
      </w:r>
      <w:r w:rsidR="00665801">
        <w:rPr>
          <w:rFonts w:cs="Arial"/>
        </w:rPr>
        <w:t xml:space="preserve">increase in </w:t>
      </w:r>
      <w:r w:rsidRPr="0081540A">
        <w:rPr>
          <w:rFonts w:cs="Arial"/>
        </w:rPr>
        <w:t>commitment</w:t>
      </w:r>
      <w:r w:rsidR="00665801">
        <w:rPr>
          <w:rFonts w:cs="Arial"/>
        </w:rPr>
        <w:t>s for</w:t>
      </w:r>
      <w:r w:rsidRPr="0081540A">
        <w:rPr>
          <w:rFonts w:cs="Arial"/>
        </w:rPr>
        <w:t xml:space="preserve"> </w:t>
      </w:r>
      <w:r w:rsidR="00C6447B">
        <w:rPr>
          <w:rFonts w:cs="Arial"/>
        </w:rPr>
        <w:t>2022/23</w:t>
      </w:r>
      <w:r w:rsidRPr="0081540A">
        <w:rPr>
          <w:rFonts w:cs="Arial"/>
        </w:rPr>
        <w:t xml:space="preserve"> and 2023/24.</w:t>
      </w:r>
    </w:p>
    <w:p w14:paraId="48A51486" w14:textId="77777777" w:rsidR="00D10794" w:rsidRPr="00812801" w:rsidRDefault="00D10794" w:rsidP="00D10794">
      <w:pPr>
        <w:tabs>
          <w:tab w:val="left" w:pos="567"/>
          <w:tab w:val="left" w:pos="1134"/>
        </w:tabs>
        <w:spacing w:after="0"/>
        <w:rPr>
          <w:rFonts w:cs="Arial"/>
        </w:rPr>
      </w:pPr>
    </w:p>
    <w:p w14:paraId="00112E07" w14:textId="77777777" w:rsidR="00D10794" w:rsidRPr="00162233" w:rsidRDefault="00162F2E" w:rsidP="00162233">
      <w:pPr>
        <w:tabs>
          <w:tab w:val="left" w:pos="567"/>
          <w:tab w:val="left" w:pos="1134"/>
        </w:tabs>
        <w:spacing w:after="0"/>
        <w:rPr>
          <w:rFonts w:cs="Arial"/>
        </w:rPr>
      </w:pPr>
      <w:r w:rsidRPr="00185CF5">
        <w:rPr>
          <w:rFonts w:cs="Arial"/>
        </w:rPr>
        <w:lastRenderedPageBreak/>
        <w:t xml:space="preserve">The closing balance of the Transitional Reserve </w:t>
      </w:r>
      <w:r w:rsidR="00BD56A6">
        <w:rPr>
          <w:rFonts w:cs="Arial"/>
        </w:rPr>
        <w:t xml:space="preserve">as </w:t>
      </w:r>
      <w:bookmarkStart w:id="23" w:name="_Int_2uzutbNQ"/>
      <w:r w:rsidRPr="00185CF5">
        <w:rPr>
          <w:rFonts w:cs="Arial"/>
        </w:rPr>
        <w:t>at</w:t>
      </w:r>
      <w:bookmarkEnd w:id="23"/>
      <w:r w:rsidRPr="00185CF5">
        <w:rPr>
          <w:rFonts w:cs="Arial"/>
        </w:rPr>
        <w:t xml:space="preserve"> 31</w:t>
      </w:r>
      <w:r w:rsidRPr="00185CF5">
        <w:rPr>
          <w:rFonts w:cs="Arial"/>
          <w:vertAlign w:val="superscript"/>
        </w:rPr>
        <w:t>st</w:t>
      </w:r>
      <w:r w:rsidRPr="00185CF5">
        <w:rPr>
          <w:rFonts w:cs="Arial"/>
        </w:rPr>
        <w:t xml:space="preserve"> March 202</w:t>
      </w:r>
      <w:r w:rsidR="002D194F" w:rsidRPr="00185CF5">
        <w:rPr>
          <w:rFonts w:cs="Arial"/>
        </w:rPr>
        <w:t>2</w:t>
      </w:r>
      <w:r w:rsidRPr="00185CF5">
        <w:rPr>
          <w:rFonts w:cs="Arial"/>
        </w:rPr>
        <w:t xml:space="preserve"> has improved </w:t>
      </w:r>
      <w:r w:rsidRPr="001C59E7">
        <w:rPr>
          <w:rFonts w:cs="Arial"/>
        </w:rPr>
        <w:t>by £</w:t>
      </w:r>
      <w:r w:rsidR="001B09E4" w:rsidRPr="001C59E7">
        <w:rPr>
          <w:rFonts w:cs="Arial"/>
        </w:rPr>
        <w:t>4.027</w:t>
      </w:r>
      <w:r w:rsidRPr="001C59E7">
        <w:rPr>
          <w:rFonts w:cs="Arial"/>
        </w:rPr>
        <w:t>m</w:t>
      </w:r>
      <w:r w:rsidRPr="00185CF5">
        <w:rPr>
          <w:rFonts w:cs="Arial"/>
        </w:rPr>
        <w:t xml:space="preserve"> when compared to the forecast </w:t>
      </w:r>
      <w:r w:rsidR="00926E6F">
        <w:rPr>
          <w:rFonts w:cs="Arial"/>
        </w:rPr>
        <w:t xml:space="preserve">reported </w:t>
      </w:r>
      <w:r w:rsidRPr="00185CF5">
        <w:rPr>
          <w:rFonts w:cs="Arial"/>
        </w:rPr>
        <w:t xml:space="preserve">at </w:t>
      </w:r>
      <w:r w:rsidR="00926E6F">
        <w:rPr>
          <w:rFonts w:cs="Arial"/>
        </w:rPr>
        <w:t xml:space="preserve">Full Council in </w:t>
      </w:r>
      <w:r w:rsidR="00926E6F" w:rsidRPr="0CFBF26B">
        <w:rPr>
          <w:rFonts w:cs="Arial"/>
        </w:rPr>
        <w:t>February</w:t>
      </w:r>
      <w:r w:rsidRPr="0CFBF26B">
        <w:rPr>
          <w:rFonts w:cs="Arial"/>
        </w:rPr>
        <w:t>.</w:t>
      </w:r>
      <w:r w:rsidRPr="00185CF5">
        <w:rPr>
          <w:rFonts w:cs="Arial"/>
        </w:rPr>
        <w:t xml:space="preserve"> The main reason for this </w:t>
      </w:r>
      <w:r w:rsidR="006E0C0E">
        <w:rPr>
          <w:rFonts w:cs="Arial"/>
        </w:rPr>
        <w:t xml:space="preserve">is </w:t>
      </w:r>
      <w:r w:rsidR="009E6292">
        <w:rPr>
          <w:rFonts w:cs="Arial"/>
        </w:rPr>
        <w:t xml:space="preserve">due to the </w:t>
      </w:r>
      <w:r w:rsidRPr="00162233">
        <w:rPr>
          <w:rFonts w:cs="Arial"/>
        </w:rPr>
        <w:t>improvement in the underspend position that has been subsequently transferred to the transitional reserve</w:t>
      </w:r>
      <w:r w:rsidR="00AE4ACF" w:rsidRPr="00162233">
        <w:rPr>
          <w:rFonts w:cs="Arial"/>
        </w:rPr>
        <w:t>.</w:t>
      </w:r>
    </w:p>
    <w:p w14:paraId="2E1F71C0" w14:textId="77777777" w:rsidR="00D10794" w:rsidRPr="00812801" w:rsidRDefault="00D10794" w:rsidP="00D10794">
      <w:pPr>
        <w:tabs>
          <w:tab w:val="left" w:pos="567"/>
          <w:tab w:val="left" w:pos="1134"/>
        </w:tabs>
        <w:spacing w:after="0"/>
        <w:rPr>
          <w:rFonts w:cs="Arial"/>
        </w:rPr>
      </w:pPr>
    </w:p>
    <w:p w14:paraId="075B96DD" w14:textId="77777777" w:rsidR="00D10794" w:rsidRPr="007D70B0" w:rsidRDefault="00162F2E" w:rsidP="00D10794">
      <w:pPr>
        <w:tabs>
          <w:tab w:val="left" w:pos="567"/>
          <w:tab w:val="left" w:pos="1134"/>
        </w:tabs>
        <w:spacing w:after="0"/>
        <w:rPr>
          <w:rFonts w:cs="Arial"/>
        </w:rPr>
      </w:pPr>
      <w:r w:rsidRPr="00FB2B4B">
        <w:rPr>
          <w:rFonts w:cs="Arial"/>
        </w:rPr>
        <w:t xml:space="preserve">There has been no </w:t>
      </w:r>
      <w:r w:rsidR="0044467E">
        <w:rPr>
          <w:rFonts w:cs="Arial"/>
        </w:rPr>
        <w:t xml:space="preserve">further </w:t>
      </w:r>
      <w:r w:rsidRPr="00FB2B4B">
        <w:rPr>
          <w:rFonts w:cs="Arial"/>
        </w:rPr>
        <w:t xml:space="preserve">need to call on the Transitional Reserve to support the </w:t>
      </w:r>
      <w:r w:rsidR="004F05D5" w:rsidRPr="00FB2B4B">
        <w:rPr>
          <w:rFonts w:cs="Arial"/>
        </w:rPr>
        <w:t>2021/22</w:t>
      </w:r>
      <w:r w:rsidRPr="00FB2B4B">
        <w:rPr>
          <w:rFonts w:cs="Arial"/>
        </w:rPr>
        <w:t xml:space="preserve"> budget, with an agreed contribution to reserves made as part of the </w:t>
      </w:r>
      <w:r w:rsidR="004F05D5" w:rsidRPr="00FB2B4B">
        <w:rPr>
          <w:rFonts w:cs="Arial"/>
        </w:rPr>
        <w:t>2021/22</w:t>
      </w:r>
      <w:r w:rsidRPr="00FB2B4B">
        <w:rPr>
          <w:rFonts w:cs="Arial"/>
        </w:rPr>
        <w:t xml:space="preserve"> budget of </w:t>
      </w:r>
      <w:r w:rsidRPr="00C6447B">
        <w:rPr>
          <w:rFonts w:cs="Arial"/>
        </w:rPr>
        <w:t>£</w:t>
      </w:r>
      <w:r w:rsidR="00C2556B">
        <w:rPr>
          <w:rFonts w:cs="Arial"/>
        </w:rPr>
        <w:t>3.860</w:t>
      </w:r>
      <w:r w:rsidR="00325B40">
        <w:rPr>
          <w:rFonts w:cs="Arial"/>
        </w:rPr>
        <w:t>m</w:t>
      </w:r>
      <w:r w:rsidRPr="00FB2B4B">
        <w:rPr>
          <w:rFonts w:cs="Arial"/>
        </w:rPr>
        <w:t>.  The table below shows the available balances for each future financial year and most importantly the forecast available funds to support the budget gap in future years. However, the uncertainty surrounding the impact of the current pandemic and the continued uncertainty around the future of local government funding</w:t>
      </w:r>
      <w:r w:rsidR="007D70B0">
        <w:rPr>
          <w:rFonts w:cs="Arial"/>
        </w:rPr>
        <w:t xml:space="preserve"> </w:t>
      </w:r>
      <w:r w:rsidR="00C7064F">
        <w:rPr>
          <w:rFonts w:cs="Arial"/>
        </w:rPr>
        <w:t>inflationary uplifts and cost of living concerns</w:t>
      </w:r>
      <w:r w:rsidR="007D70B0">
        <w:rPr>
          <w:rFonts w:cs="Arial"/>
        </w:rPr>
        <w:t xml:space="preserve"> will</w:t>
      </w:r>
      <w:r w:rsidRPr="00FB2B4B">
        <w:rPr>
          <w:rFonts w:cs="Arial"/>
        </w:rPr>
        <w:t xml:space="preserve"> lead to further savings having to be </w:t>
      </w:r>
      <w:r w:rsidRPr="007D70B0">
        <w:rPr>
          <w:rFonts w:cs="Arial"/>
        </w:rPr>
        <w:t>made.</w:t>
      </w:r>
    </w:p>
    <w:p w14:paraId="5FB761AB" w14:textId="77777777" w:rsidR="00D10794" w:rsidRPr="007D70B0" w:rsidRDefault="00D10794" w:rsidP="00D10794">
      <w:pPr>
        <w:tabs>
          <w:tab w:val="left" w:pos="567"/>
          <w:tab w:val="left" w:pos="1134"/>
        </w:tabs>
        <w:spacing w:after="0"/>
        <w:rPr>
          <w:rFonts w:cs="Arial"/>
        </w:rPr>
      </w:pPr>
    </w:p>
    <w:p w14:paraId="192ABE9B" w14:textId="77777777" w:rsidR="00D10794" w:rsidRPr="007D70B0" w:rsidRDefault="00162F2E" w:rsidP="00D10794">
      <w:pPr>
        <w:spacing w:after="0"/>
        <w:rPr>
          <w:i/>
          <w:u w:val="single"/>
        </w:rPr>
      </w:pPr>
      <w:r w:rsidRPr="007D70B0">
        <w:rPr>
          <w:i/>
          <w:u w:val="single"/>
        </w:rPr>
        <w:t xml:space="preserve">Table </w:t>
      </w:r>
      <w:r w:rsidR="00B12B6D" w:rsidRPr="007D70B0">
        <w:rPr>
          <w:i/>
          <w:u w:val="single"/>
        </w:rPr>
        <w:t>5</w:t>
      </w:r>
    </w:p>
    <w:p w14:paraId="17DEFFDA" w14:textId="77777777" w:rsidR="00D10794" w:rsidRPr="007D70B0" w:rsidRDefault="00D10794" w:rsidP="00D10794">
      <w:pPr>
        <w:tabs>
          <w:tab w:val="left" w:pos="567"/>
          <w:tab w:val="left" w:pos="1134"/>
        </w:tabs>
        <w:spacing w:after="0"/>
        <w:rPr>
          <w:rFonts w:cs="Arial"/>
        </w:rPr>
      </w:pPr>
    </w:p>
    <w:tbl>
      <w:tblPr>
        <w:tblW w:w="8937" w:type="dxa"/>
        <w:tblLook w:val="04A0" w:firstRow="1" w:lastRow="0" w:firstColumn="1" w:lastColumn="0" w:noHBand="0" w:noVBand="1"/>
      </w:tblPr>
      <w:tblGrid>
        <w:gridCol w:w="4251"/>
        <w:gridCol w:w="1649"/>
        <w:gridCol w:w="1569"/>
        <w:gridCol w:w="1468"/>
      </w:tblGrid>
      <w:tr w:rsidR="006E5B54" w14:paraId="75B95605" w14:textId="77777777" w:rsidTr="0CFBF26B">
        <w:trPr>
          <w:trHeight w:val="312"/>
        </w:trPr>
        <w:tc>
          <w:tcPr>
            <w:tcW w:w="4251"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10A02DE" w14:textId="77777777" w:rsidR="00D10794" w:rsidRPr="00C11EA9" w:rsidRDefault="00162F2E" w:rsidP="00D10794">
            <w:pPr>
              <w:autoSpaceDE/>
              <w:autoSpaceDN/>
              <w:adjustRightInd/>
              <w:spacing w:after="0"/>
              <w:jc w:val="left"/>
              <w:rPr>
                <w:rFonts w:eastAsia="Times New Roman" w:cs="Arial"/>
                <w:b/>
                <w:bCs/>
                <w:sz w:val="20"/>
                <w:szCs w:val="20"/>
                <w:lang w:eastAsia="en-GB"/>
              </w:rPr>
            </w:pPr>
            <w:r w:rsidRPr="00C11EA9">
              <w:rPr>
                <w:rFonts w:eastAsia="Times New Roman" w:cs="Arial"/>
                <w:b/>
                <w:bCs/>
                <w:sz w:val="20"/>
                <w:szCs w:val="20"/>
                <w:lang w:eastAsia="en-GB"/>
              </w:rPr>
              <w:t> </w:t>
            </w:r>
          </w:p>
        </w:tc>
        <w:tc>
          <w:tcPr>
            <w:tcW w:w="164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81CF316" w14:textId="77777777" w:rsidR="00D10794" w:rsidRPr="00C11EA9" w:rsidRDefault="00162F2E" w:rsidP="003E5852">
            <w:pPr>
              <w:autoSpaceDE/>
              <w:autoSpaceDN/>
              <w:adjustRightInd/>
              <w:spacing w:after="0"/>
              <w:jc w:val="center"/>
              <w:rPr>
                <w:rFonts w:eastAsia="Times New Roman" w:cs="Arial"/>
                <w:b/>
                <w:bCs/>
                <w:sz w:val="20"/>
                <w:szCs w:val="20"/>
                <w:lang w:eastAsia="en-GB"/>
              </w:rPr>
            </w:pPr>
            <w:r w:rsidRPr="00C11EA9">
              <w:rPr>
                <w:rFonts w:eastAsia="Times New Roman" w:cs="Arial"/>
                <w:b/>
                <w:bCs/>
                <w:sz w:val="20"/>
                <w:szCs w:val="20"/>
                <w:lang w:eastAsia="en-GB"/>
              </w:rPr>
              <w:t>202</w:t>
            </w:r>
            <w:r w:rsidR="00CE11EC" w:rsidRPr="00C11EA9">
              <w:rPr>
                <w:rFonts w:eastAsia="Times New Roman" w:cs="Arial"/>
                <w:b/>
                <w:bCs/>
                <w:sz w:val="20"/>
                <w:szCs w:val="20"/>
                <w:lang w:eastAsia="en-GB"/>
              </w:rPr>
              <w:t>2</w:t>
            </w:r>
            <w:r w:rsidRPr="00C11EA9">
              <w:rPr>
                <w:rFonts w:eastAsia="Times New Roman" w:cs="Arial"/>
                <w:b/>
                <w:bCs/>
                <w:sz w:val="20"/>
                <w:szCs w:val="20"/>
                <w:lang w:eastAsia="en-GB"/>
              </w:rPr>
              <w:t>/2</w:t>
            </w:r>
            <w:r w:rsidR="00CE11EC" w:rsidRPr="00C11EA9">
              <w:rPr>
                <w:rFonts w:eastAsia="Times New Roman" w:cs="Arial"/>
                <w:b/>
                <w:bCs/>
                <w:sz w:val="20"/>
                <w:szCs w:val="20"/>
                <w:lang w:eastAsia="en-GB"/>
              </w:rPr>
              <w:t>3</w:t>
            </w:r>
          </w:p>
        </w:tc>
        <w:tc>
          <w:tcPr>
            <w:tcW w:w="156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A6772B" w14:textId="77777777" w:rsidR="00D10794" w:rsidRPr="00C11EA9" w:rsidRDefault="00162F2E" w:rsidP="003E5852">
            <w:pPr>
              <w:autoSpaceDE/>
              <w:autoSpaceDN/>
              <w:adjustRightInd/>
              <w:spacing w:after="0"/>
              <w:jc w:val="center"/>
              <w:rPr>
                <w:rFonts w:eastAsia="Times New Roman" w:cs="Arial"/>
                <w:b/>
                <w:bCs/>
                <w:sz w:val="20"/>
                <w:szCs w:val="20"/>
                <w:lang w:eastAsia="en-GB"/>
              </w:rPr>
            </w:pPr>
            <w:r w:rsidRPr="00C11EA9">
              <w:rPr>
                <w:rFonts w:eastAsia="Times New Roman" w:cs="Arial"/>
                <w:b/>
                <w:bCs/>
                <w:sz w:val="20"/>
                <w:szCs w:val="20"/>
                <w:lang w:eastAsia="en-GB"/>
              </w:rPr>
              <w:t>202</w:t>
            </w:r>
            <w:r w:rsidR="00CE11EC" w:rsidRPr="00C11EA9">
              <w:rPr>
                <w:rFonts w:eastAsia="Times New Roman" w:cs="Arial"/>
                <w:b/>
                <w:bCs/>
                <w:sz w:val="20"/>
                <w:szCs w:val="20"/>
                <w:lang w:eastAsia="en-GB"/>
              </w:rPr>
              <w:t>3</w:t>
            </w:r>
            <w:r w:rsidRPr="00C11EA9">
              <w:rPr>
                <w:rFonts w:eastAsia="Times New Roman" w:cs="Arial"/>
                <w:b/>
                <w:bCs/>
                <w:sz w:val="20"/>
                <w:szCs w:val="20"/>
                <w:lang w:eastAsia="en-GB"/>
              </w:rPr>
              <w:t>/2</w:t>
            </w:r>
            <w:r w:rsidR="00CE11EC" w:rsidRPr="00C11EA9">
              <w:rPr>
                <w:rFonts w:eastAsia="Times New Roman" w:cs="Arial"/>
                <w:b/>
                <w:bCs/>
                <w:sz w:val="20"/>
                <w:szCs w:val="20"/>
                <w:lang w:eastAsia="en-GB"/>
              </w:rPr>
              <w:t>4</w:t>
            </w:r>
          </w:p>
        </w:tc>
        <w:tc>
          <w:tcPr>
            <w:tcW w:w="146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3236A734" w14:textId="77777777" w:rsidR="00D10794" w:rsidRPr="00C11EA9" w:rsidRDefault="00162F2E" w:rsidP="003E5852">
            <w:pPr>
              <w:autoSpaceDE/>
              <w:autoSpaceDN/>
              <w:adjustRightInd/>
              <w:spacing w:after="0"/>
              <w:jc w:val="center"/>
              <w:rPr>
                <w:rFonts w:eastAsia="Times New Roman" w:cs="Arial"/>
                <w:b/>
                <w:bCs/>
                <w:sz w:val="20"/>
                <w:szCs w:val="20"/>
                <w:lang w:eastAsia="en-GB"/>
              </w:rPr>
            </w:pPr>
            <w:r w:rsidRPr="00C11EA9">
              <w:rPr>
                <w:rFonts w:eastAsia="Times New Roman" w:cs="Arial"/>
                <w:b/>
                <w:bCs/>
                <w:sz w:val="20"/>
                <w:szCs w:val="20"/>
                <w:lang w:eastAsia="en-GB"/>
              </w:rPr>
              <w:t>202</w:t>
            </w:r>
            <w:r w:rsidR="00CE11EC" w:rsidRPr="00C11EA9">
              <w:rPr>
                <w:rFonts w:eastAsia="Times New Roman" w:cs="Arial"/>
                <w:b/>
                <w:bCs/>
                <w:sz w:val="20"/>
                <w:szCs w:val="20"/>
                <w:lang w:eastAsia="en-GB"/>
              </w:rPr>
              <w:t>4</w:t>
            </w:r>
            <w:r w:rsidRPr="00C11EA9">
              <w:rPr>
                <w:rFonts w:eastAsia="Times New Roman" w:cs="Arial"/>
                <w:b/>
                <w:bCs/>
                <w:sz w:val="20"/>
                <w:szCs w:val="20"/>
                <w:lang w:eastAsia="en-GB"/>
              </w:rPr>
              <w:t>/2</w:t>
            </w:r>
            <w:r w:rsidR="00CE11EC" w:rsidRPr="00C11EA9">
              <w:rPr>
                <w:rFonts w:eastAsia="Times New Roman" w:cs="Arial"/>
                <w:b/>
                <w:bCs/>
                <w:sz w:val="20"/>
                <w:szCs w:val="20"/>
                <w:lang w:eastAsia="en-GB"/>
              </w:rPr>
              <w:t>5</w:t>
            </w:r>
          </w:p>
        </w:tc>
      </w:tr>
      <w:tr w:rsidR="006E5B54" w14:paraId="64B8ADBF" w14:textId="77777777" w:rsidTr="00D10794">
        <w:trPr>
          <w:trHeight w:val="312"/>
        </w:trPr>
        <w:tc>
          <w:tcPr>
            <w:tcW w:w="4251" w:type="dxa"/>
            <w:tcBorders>
              <w:top w:val="nil"/>
              <w:left w:val="single" w:sz="8" w:space="0" w:color="auto"/>
              <w:bottom w:val="single" w:sz="8" w:space="0" w:color="auto"/>
              <w:right w:val="single" w:sz="8" w:space="0" w:color="auto"/>
            </w:tcBorders>
            <w:shd w:val="clear" w:color="auto" w:fill="auto"/>
            <w:vAlign w:val="center"/>
            <w:hideMark/>
          </w:tcPr>
          <w:p w14:paraId="6225FFBE" w14:textId="77777777" w:rsidR="00412FFD" w:rsidRPr="00C11EA9" w:rsidRDefault="00162F2E" w:rsidP="00412FFD">
            <w:pPr>
              <w:autoSpaceDE/>
              <w:autoSpaceDN/>
              <w:adjustRightInd/>
              <w:spacing w:after="0"/>
              <w:jc w:val="left"/>
              <w:rPr>
                <w:rFonts w:eastAsia="Times New Roman" w:cs="Arial"/>
                <w:b/>
                <w:bCs/>
                <w:sz w:val="20"/>
                <w:szCs w:val="20"/>
                <w:lang w:eastAsia="en-GB"/>
              </w:rPr>
            </w:pPr>
            <w:r w:rsidRPr="00C11EA9">
              <w:rPr>
                <w:rFonts w:eastAsia="Times New Roman" w:cs="Arial"/>
                <w:b/>
                <w:bCs/>
                <w:sz w:val="20"/>
                <w:szCs w:val="20"/>
                <w:lang w:eastAsia="en-GB"/>
              </w:rPr>
              <w:t>Opening Balance</w:t>
            </w:r>
          </w:p>
        </w:tc>
        <w:tc>
          <w:tcPr>
            <w:tcW w:w="1649" w:type="dxa"/>
            <w:tcBorders>
              <w:top w:val="nil"/>
              <w:left w:val="nil"/>
              <w:bottom w:val="single" w:sz="8" w:space="0" w:color="auto"/>
              <w:right w:val="single" w:sz="8" w:space="0" w:color="auto"/>
            </w:tcBorders>
            <w:shd w:val="clear" w:color="auto" w:fill="auto"/>
            <w:vAlign w:val="center"/>
            <w:hideMark/>
          </w:tcPr>
          <w:p w14:paraId="66D0F4A9" w14:textId="77777777" w:rsidR="00412FFD" w:rsidRPr="00C11EA9" w:rsidRDefault="00162F2E" w:rsidP="00412FFD">
            <w:pPr>
              <w:autoSpaceDE/>
              <w:autoSpaceDN/>
              <w:adjustRightInd/>
              <w:spacing w:after="0"/>
              <w:jc w:val="right"/>
              <w:rPr>
                <w:rFonts w:eastAsia="Times New Roman" w:cs="Arial"/>
                <w:color w:val="auto"/>
                <w:sz w:val="20"/>
                <w:szCs w:val="20"/>
                <w:lang w:eastAsia="en-GB"/>
              </w:rPr>
            </w:pPr>
            <w:r w:rsidRPr="0CFBF26B">
              <w:rPr>
                <w:rFonts w:cs="Arial"/>
                <w:color w:val="auto"/>
                <w:sz w:val="20"/>
                <w:szCs w:val="20"/>
              </w:rPr>
              <w:t>215.777</w:t>
            </w:r>
          </w:p>
        </w:tc>
        <w:tc>
          <w:tcPr>
            <w:tcW w:w="1569" w:type="dxa"/>
            <w:tcBorders>
              <w:top w:val="nil"/>
              <w:left w:val="nil"/>
              <w:bottom w:val="single" w:sz="8" w:space="0" w:color="auto"/>
              <w:right w:val="single" w:sz="8" w:space="0" w:color="auto"/>
            </w:tcBorders>
            <w:shd w:val="clear" w:color="auto" w:fill="auto"/>
            <w:vAlign w:val="center"/>
            <w:hideMark/>
          </w:tcPr>
          <w:p w14:paraId="7946F306" w14:textId="77777777" w:rsidR="00412FFD" w:rsidRPr="00C904A5" w:rsidRDefault="00162F2E" w:rsidP="00412FFD">
            <w:pPr>
              <w:autoSpaceDE/>
              <w:autoSpaceDN/>
              <w:adjustRightInd/>
              <w:spacing w:after="0"/>
              <w:jc w:val="right"/>
              <w:rPr>
                <w:rFonts w:eastAsia="Times New Roman" w:cs="Arial"/>
                <w:color w:val="auto"/>
                <w:sz w:val="20"/>
                <w:szCs w:val="20"/>
                <w:lang w:eastAsia="en-GB"/>
              </w:rPr>
            </w:pPr>
            <w:r w:rsidRPr="00C904A5">
              <w:rPr>
                <w:rFonts w:cs="Arial"/>
                <w:color w:val="auto"/>
                <w:sz w:val="20"/>
                <w:szCs w:val="20"/>
              </w:rPr>
              <w:t>166.887</w:t>
            </w:r>
          </w:p>
        </w:tc>
        <w:tc>
          <w:tcPr>
            <w:tcW w:w="1468" w:type="dxa"/>
            <w:tcBorders>
              <w:top w:val="nil"/>
              <w:left w:val="nil"/>
              <w:bottom w:val="single" w:sz="8" w:space="0" w:color="auto"/>
              <w:right w:val="single" w:sz="8" w:space="0" w:color="auto"/>
            </w:tcBorders>
            <w:shd w:val="clear" w:color="auto" w:fill="auto"/>
            <w:vAlign w:val="center"/>
            <w:hideMark/>
          </w:tcPr>
          <w:p w14:paraId="31E62225" w14:textId="77777777" w:rsidR="00412FFD" w:rsidRPr="00C904A5" w:rsidRDefault="00162F2E" w:rsidP="00412FFD">
            <w:pPr>
              <w:autoSpaceDE/>
              <w:autoSpaceDN/>
              <w:adjustRightInd/>
              <w:spacing w:after="0"/>
              <w:jc w:val="right"/>
              <w:rPr>
                <w:rFonts w:eastAsia="Times New Roman" w:cs="Arial"/>
                <w:color w:val="auto"/>
                <w:sz w:val="20"/>
                <w:szCs w:val="20"/>
                <w:lang w:eastAsia="en-GB"/>
              </w:rPr>
            </w:pPr>
            <w:r w:rsidRPr="00C904A5">
              <w:rPr>
                <w:rFonts w:cs="Arial"/>
                <w:color w:val="auto"/>
                <w:sz w:val="20"/>
                <w:szCs w:val="20"/>
              </w:rPr>
              <w:t>131.787</w:t>
            </w:r>
          </w:p>
        </w:tc>
      </w:tr>
      <w:tr w:rsidR="006E5B54" w14:paraId="6654C28D" w14:textId="77777777" w:rsidTr="00D10794">
        <w:trPr>
          <w:trHeight w:val="312"/>
        </w:trPr>
        <w:tc>
          <w:tcPr>
            <w:tcW w:w="4251" w:type="dxa"/>
            <w:tcBorders>
              <w:top w:val="nil"/>
              <w:left w:val="single" w:sz="8" w:space="0" w:color="auto"/>
              <w:bottom w:val="single" w:sz="8" w:space="0" w:color="auto"/>
              <w:right w:val="single" w:sz="8" w:space="0" w:color="auto"/>
            </w:tcBorders>
            <w:shd w:val="clear" w:color="auto" w:fill="auto"/>
            <w:vAlign w:val="center"/>
            <w:hideMark/>
          </w:tcPr>
          <w:p w14:paraId="1BEE5D18" w14:textId="77777777" w:rsidR="00412FFD" w:rsidRPr="00C11EA9" w:rsidRDefault="00162F2E" w:rsidP="00412FFD">
            <w:pPr>
              <w:autoSpaceDE/>
              <w:autoSpaceDN/>
              <w:adjustRightInd/>
              <w:spacing w:after="0"/>
              <w:jc w:val="left"/>
              <w:rPr>
                <w:rFonts w:eastAsia="Times New Roman" w:cs="Arial"/>
                <w:b/>
                <w:bCs/>
                <w:sz w:val="20"/>
                <w:szCs w:val="20"/>
                <w:lang w:eastAsia="en-GB"/>
              </w:rPr>
            </w:pPr>
            <w:r w:rsidRPr="00C11EA9">
              <w:rPr>
                <w:rFonts w:eastAsia="Times New Roman" w:cs="Arial"/>
                <w:b/>
                <w:bCs/>
                <w:sz w:val="20"/>
                <w:szCs w:val="20"/>
                <w:lang w:eastAsia="en-GB"/>
              </w:rPr>
              <w:t>Gap funding</w:t>
            </w:r>
          </w:p>
        </w:tc>
        <w:tc>
          <w:tcPr>
            <w:tcW w:w="1649" w:type="dxa"/>
            <w:tcBorders>
              <w:top w:val="nil"/>
              <w:left w:val="nil"/>
              <w:bottom w:val="single" w:sz="8" w:space="0" w:color="auto"/>
              <w:right w:val="single" w:sz="8" w:space="0" w:color="auto"/>
            </w:tcBorders>
            <w:shd w:val="clear" w:color="auto" w:fill="auto"/>
            <w:vAlign w:val="center"/>
            <w:hideMark/>
          </w:tcPr>
          <w:p w14:paraId="227619FE" w14:textId="77777777" w:rsidR="00412FFD" w:rsidRPr="00C904A5" w:rsidRDefault="00162F2E" w:rsidP="00412FFD">
            <w:pPr>
              <w:autoSpaceDE/>
              <w:autoSpaceDN/>
              <w:adjustRightInd/>
              <w:spacing w:after="0"/>
              <w:jc w:val="right"/>
              <w:rPr>
                <w:rFonts w:cs="Arial"/>
                <w:b/>
                <w:color w:val="auto"/>
                <w:sz w:val="20"/>
                <w:szCs w:val="20"/>
                <w:lang w:eastAsia="en-GB"/>
              </w:rPr>
            </w:pPr>
            <w:r w:rsidRPr="00C904A5">
              <w:rPr>
                <w:rFonts w:cs="Arial"/>
                <w:b/>
                <w:color w:val="auto"/>
                <w:sz w:val="20"/>
                <w:szCs w:val="20"/>
              </w:rPr>
              <w:t>18.844</w:t>
            </w:r>
          </w:p>
        </w:tc>
        <w:tc>
          <w:tcPr>
            <w:tcW w:w="1569" w:type="dxa"/>
            <w:tcBorders>
              <w:top w:val="nil"/>
              <w:left w:val="nil"/>
              <w:bottom w:val="single" w:sz="8" w:space="0" w:color="auto"/>
              <w:right w:val="single" w:sz="8" w:space="0" w:color="auto"/>
            </w:tcBorders>
            <w:shd w:val="clear" w:color="auto" w:fill="auto"/>
            <w:vAlign w:val="center"/>
            <w:hideMark/>
          </w:tcPr>
          <w:p w14:paraId="27CFE890" w14:textId="77777777" w:rsidR="00412FFD" w:rsidRPr="00C904A5" w:rsidRDefault="00162F2E" w:rsidP="00412FFD">
            <w:pPr>
              <w:autoSpaceDE/>
              <w:autoSpaceDN/>
              <w:adjustRightInd/>
              <w:spacing w:after="0"/>
              <w:jc w:val="right"/>
              <w:rPr>
                <w:rFonts w:cs="Arial"/>
                <w:b/>
                <w:color w:val="auto"/>
                <w:sz w:val="20"/>
                <w:szCs w:val="20"/>
                <w:lang w:eastAsia="en-GB"/>
              </w:rPr>
            </w:pPr>
            <w:r w:rsidRPr="00C904A5">
              <w:rPr>
                <w:rFonts w:cs="Arial"/>
                <w:b/>
                <w:color w:val="auto"/>
                <w:sz w:val="20"/>
                <w:szCs w:val="20"/>
              </w:rPr>
              <w:t>30.548</w:t>
            </w:r>
          </w:p>
        </w:tc>
        <w:tc>
          <w:tcPr>
            <w:tcW w:w="1468" w:type="dxa"/>
            <w:tcBorders>
              <w:top w:val="nil"/>
              <w:left w:val="nil"/>
              <w:bottom w:val="single" w:sz="8" w:space="0" w:color="auto"/>
              <w:right w:val="single" w:sz="8" w:space="0" w:color="auto"/>
            </w:tcBorders>
            <w:shd w:val="clear" w:color="auto" w:fill="auto"/>
            <w:vAlign w:val="center"/>
            <w:hideMark/>
          </w:tcPr>
          <w:p w14:paraId="6E199422" w14:textId="77777777" w:rsidR="00412FFD" w:rsidRPr="00C904A5" w:rsidRDefault="00162F2E" w:rsidP="00412FFD">
            <w:pPr>
              <w:autoSpaceDE/>
              <w:autoSpaceDN/>
              <w:adjustRightInd/>
              <w:spacing w:after="0"/>
              <w:jc w:val="right"/>
              <w:rPr>
                <w:rFonts w:cs="Arial"/>
                <w:b/>
                <w:color w:val="auto"/>
                <w:sz w:val="20"/>
                <w:szCs w:val="20"/>
                <w:lang w:eastAsia="en-GB"/>
              </w:rPr>
            </w:pPr>
            <w:r w:rsidRPr="00C904A5">
              <w:rPr>
                <w:rFonts w:cs="Arial"/>
                <w:b/>
                <w:color w:val="auto"/>
                <w:sz w:val="20"/>
                <w:szCs w:val="20"/>
              </w:rPr>
              <w:t>41.349</w:t>
            </w:r>
          </w:p>
        </w:tc>
      </w:tr>
      <w:tr w:rsidR="006E5B54" w14:paraId="3FCBBBEE" w14:textId="77777777" w:rsidTr="00D10794">
        <w:trPr>
          <w:trHeight w:val="312"/>
        </w:trPr>
        <w:tc>
          <w:tcPr>
            <w:tcW w:w="4251" w:type="dxa"/>
            <w:tcBorders>
              <w:top w:val="nil"/>
              <w:left w:val="single" w:sz="8" w:space="0" w:color="auto"/>
              <w:bottom w:val="single" w:sz="8" w:space="0" w:color="auto"/>
              <w:right w:val="single" w:sz="8" w:space="0" w:color="auto"/>
            </w:tcBorders>
            <w:shd w:val="clear" w:color="auto" w:fill="auto"/>
            <w:vAlign w:val="center"/>
            <w:hideMark/>
          </w:tcPr>
          <w:p w14:paraId="5CB89222" w14:textId="77777777" w:rsidR="00412FFD" w:rsidRPr="00C11EA9" w:rsidRDefault="00162F2E" w:rsidP="00412FFD">
            <w:pPr>
              <w:autoSpaceDE/>
              <w:autoSpaceDN/>
              <w:adjustRightInd/>
              <w:spacing w:after="0"/>
              <w:jc w:val="left"/>
              <w:rPr>
                <w:rFonts w:eastAsia="Times New Roman" w:cs="Arial"/>
                <w:b/>
                <w:bCs/>
                <w:sz w:val="20"/>
                <w:szCs w:val="20"/>
                <w:lang w:eastAsia="en-GB"/>
              </w:rPr>
            </w:pPr>
            <w:r w:rsidRPr="00C11EA9">
              <w:rPr>
                <w:rFonts w:eastAsia="Times New Roman" w:cs="Arial"/>
                <w:b/>
                <w:bCs/>
                <w:sz w:val="20"/>
                <w:szCs w:val="20"/>
                <w:lang w:eastAsia="en-GB"/>
              </w:rPr>
              <w:t>Commitments</w:t>
            </w:r>
          </w:p>
        </w:tc>
        <w:tc>
          <w:tcPr>
            <w:tcW w:w="1649" w:type="dxa"/>
            <w:tcBorders>
              <w:top w:val="nil"/>
              <w:left w:val="nil"/>
              <w:bottom w:val="single" w:sz="8" w:space="0" w:color="auto"/>
              <w:right w:val="single" w:sz="8" w:space="0" w:color="auto"/>
            </w:tcBorders>
            <w:shd w:val="clear" w:color="auto" w:fill="auto"/>
            <w:vAlign w:val="center"/>
            <w:hideMark/>
          </w:tcPr>
          <w:p w14:paraId="2FCB064F" w14:textId="77777777" w:rsidR="00412FFD" w:rsidRPr="00C904A5" w:rsidRDefault="00162F2E" w:rsidP="00412FFD">
            <w:pPr>
              <w:autoSpaceDE/>
              <w:autoSpaceDN/>
              <w:adjustRightInd/>
              <w:spacing w:after="0"/>
              <w:jc w:val="right"/>
              <w:rPr>
                <w:rFonts w:eastAsia="Times New Roman" w:cs="Arial"/>
                <w:color w:val="auto"/>
                <w:sz w:val="20"/>
                <w:szCs w:val="20"/>
                <w:highlight w:val="yellow"/>
                <w:lang w:eastAsia="en-GB"/>
              </w:rPr>
            </w:pPr>
            <w:r w:rsidRPr="00C904A5">
              <w:rPr>
                <w:rFonts w:cs="Arial"/>
                <w:color w:val="auto"/>
                <w:sz w:val="20"/>
                <w:szCs w:val="20"/>
              </w:rPr>
              <w:t>30.046</w:t>
            </w:r>
          </w:p>
        </w:tc>
        <w:tc>
          <w:tcPr>
            <w:tcW w:w="1569" w:type="dxa"/>
            <w:tcBorders>
              <w:top w:val="nil"/>
              <w:left w:val="nil"/>
              <w:bottom w:val="single" w:sz="8" w:space="0" w:color="auto"/>
              <w:right w:val="single" w:sz="8" w:space="0" w:color="auto"/>
            </w:tcBorders>
            <w:shd w:val="clear" w:color="auto" w:fill="auto"/>
            <w:vAlign w:val="center"/>
            <w:hideMark/>
          </w:tcPr>
          <w:p w14:paraId="1ABDC404" w14:textId="77777777" w:rsidR="00412FFD" w:rsidRPr="00C904A5" w:rsidRDefault="00162F2E" w:rsidP="00412FFD">
            <w:pPr>
              <w:autoSpaceDE/>
              <w:autoSpaceDN/>
              <w:adjustRightInd/>
              <w:spacing w:after="0"/>
              <w:jc w:val="right"/>
              <w:rPr>
                <w:rFonts w:eastAsia="Times New Roman" w:cs="Arial"/>
                <w:color w:val="auto"/>
                <w:sz w:val="20"/>
                <w:szCs w:val="20"/>
                <w:lang w:eastAsia="en-GB"/>
              </w:rPr>
            </w:pPr>
            <w:r w:rsidRPr="00C904A5">
              <w:rPr>
                <w:rFonts w:cs="Arial"/>
                <w:color w:val="auto"/>
                <w:sz w:val="20"/>
                <w:szCs w:val="20"/>
              </w:rPr>
              <w:t>4.552</w:t>
            </w:r>
          </w:p>
        </w:tc>
        <w:tc>
          <w:tcPr>
            <w:tcW w:w="1468" w:type="dxa"/>
            <w:tcBorders>
              <w:top w:val="nil"/>
              <w:left w:val="nil"/>
              <w:bottom w:val="single" w:sz="8" w:space="0" w:color="auto"/>
              <w:right w:val="single" w:sz="8" w:space="0" w:color="auto"/>
            </w:tcBorders>
            <w:shd w:val="clear" w:color="auto" w:fill="auto"/>
            <w:vAlign w:val="center"/>
            <w:hideMark/>
          </w:tcPr>
          <w:p w14:paraId="7D159395" w14:textId="77777777" w:rsidR="00412FFD" w:rsidRPr="00C904A5" w:rsidRDefault="00162F2E" w:rsidP="00412FFD">
            <w:pPr>
              <w:autoSpaceDE/>
              <w:autoSpaceDN/>
              <w:adjustRightInd/>
              <w:spacing w:after="0"/>
              <w:jc w:val="right"/>
              <w:rPr>
                <w:rFonts w:eastAsia="Times New Roman" w:cs="Arial"/>
                <w:color w:val="auto"/>
                <w:sz w:val="20"/>
                <w:szCs w:val="20"/>
                <w:lang w:eastAsia="en-GB"/>
              </w:rPr>
            </w:pPr>
            <w:r w:rsidRPr="00C904A5">
              <w:rPr>
                <w:rFonts w:cs="Arial"/>
                <w:color w:val="auto"/>
                <w:sz w:val="20"/>
                <w:szCs w:val="20"/>
              </w:rPr>
              <w:t>2.719</w:t>
            </w:r>
          </w:p>
        </w:tc>
      </w:tr>
      <w:tr w:rsidR="006E5B54" w14:paraId="3D23BD51" w14:textId="77777777" w:rsidTr="0CFBF26B">
        <w:trPr>
          <w:trHeight w:val="312"/>
        </w:trPr>
        <w:tc>
          <w:tcPr>
            <w:tcW w:w="425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05F57C98" w14:textId="77777777" w:rsidR="00412FFD" w:rsidRPr="00C11EA9" w:rsidRDefault="00162F2E" w:rsidP="00412FFD">
            <w:pPr>
              <w:autoSpaceDE/>
              <w:autoSpaceDN/>
              <w:adjustRightInd/>
              <w:spacing w:after="0"/>
              <w:jc w:val="left"/>
              <w:rPr>
                <w:rFonts w:eastAsia="Times New Roman" w:cs="Arial"/>
                <w:b/>
                <w:bCs/>
                <w:sz w:val="20"/>
                <w:szCs w:val="20"/>
                <w:lang w:eastAsia="en-GB"/>
              </w:rPr>
            </w:pPr>
            <w:r w:rsidRPr="00C11EA9">
              <w:rPr>
                <w:rFonts w:eastAsia="Times New Roman" w:cs="Arial"/>
                <w:b/>
                <w:bCs/>
                <w:sz w:val="20"/>
                <w:szCs w:val="20"/>
                <w:lang w:eastAsia="en-GB"/>
              </w:rPr>
              <w:t>Closing balance</w:t>
            </w:r>
          </w:p>
        </w:tc>
        <w:tc>
          <w:tcPr>
            <w:tcW w:w="1649" w:type="dxa"/>
            <w:tcBorders>
              <w:top w:val="nil"/>
              <w:left w:val="nil"/>
              <w:bottom w:val="single" w:sz="8" w:space="0" w:color="auto"/>
              <w:right w:val="single" w:sz="8" w:space="0" w:color="auto"/>
            </w:tcBorders>
            <w:shd w:val="clear" w:color="auto" w:fill="BFBFBF" w:themeFill="background1" w:themeFillShade="BF"/>
            <w:vAlign w:val="center"/>
            <w:hideMark/>
          </w:tcPr>
          <w:p w14:paraId="35B9929C" w14:textId="77777777" w:rsidR="00412FFD" w:rsidRPr="00C904A5" w:rsidRDefault="00162F2E" w:rsidP="00412FFD">
            <w:pPr>
              <w:autoSpaceDE/>
              <w:autoSpaceDN/>
              <w:adjustRightInd/>
              <w:spacing w:after="0"/>
              <w:jc w:val="right"/>
              <w:rPr>
                <w:rFonts w:eastAsia="Times New Roman" w:cs="Arial"/>
                <w:b/>
                <w:color w:val="auto"/>
                <w:sz w:val="20"/>
                <w:szCs w:val="20"/>
                <w:lang w:eastAsia="en-GB"/>
              </w:rPr>
            </w:pPr>
            <w:r w:rsidRPr="00C904A5">
              <w:rPr>
                <w:rFonts w:cs="Arial"/>
                <w:b/>
                <w:bCs/>
                <w:color w:val="auto"/>
                <w:sz w:val="20"/>
                <w:szCs w:val="20"/>
              </w:rPr>
              <w:t>166.887</w:t>
            </w:r>
          </w:p>
        </w:tc>
        <w:tc>
          <w:tcPr>
            <w:tcW w:w="1569" w:type="dxa"/>
            <w:tcBorders>
              <w:top w:val="nil"/>
              <w:left w:val="nil"/>
              <w:bottom w:val="single" w:sz="8" w:space="0" w:color="auto"/>
              <w:right w:val="single" w:sz="8" w:space="0" w:color="auto"/>
            </w:tcBorders>
            <w:shd w:val="clear" w:color="auto" w:fill="BFBFBF" w:themeFill="background1" w:themeFillShade="BF"/>
            <w:vAlign w:val="center"/>
            <w:hideMark/>
          </w:tcPr>
          <w:p w14:paraId="2B3A37C6" w14:textId="77777777" w:rsidR="00412FFD" w:rsidRPr="00C904A5" w:rsidRDefault="00162F2E" w:rsidP="00412FFD">
            <w:pPr>
              <w:autoSpaceDE/>
              <w:autoSpaceDN/>
              <w:adjustRightInd/>
              <w:spacing w:after="0"/>
              <w:jc w:val="right"/>
              <w:rPr>
                <w:rFonts w:eastAsia="Times New Roman" w:cs="Arial"/>
                <w:b/>
                <w:color w:val="auto"/>
                <w:sz w:val="20"/>
                <w:szCs w:val="20"/>
                <w:lang w:eastAsia="en-GB"/>
              </w:rPr>
            </w:pPr>
            <w:r w:rsidRPr="00C904A5">
              <w:rPr>
                <w:rFonts w:cs="Arial"/>
                <w:b/>
                <w:bCs/>
                <w:color w:val="auto"/>
                <w:sz w:val="20"/>
                <w:szCs w:val="20"/>
              </w:rPr>
              <w:t>131.787</w:t>
            </w:r>
          </w:p>
        </w:tc>
        <w:tc>
          <w:tcPr>
            <w:tcW w:w="1468" w:type="dxa"/>
            <w:tcBorders>
              <w:top w:val="nil"/>
              <w:left w:val="nil"/>
              <w:bottom w:val="single" w:sz="8" w:space="0" w:color="auto"/>
              <w:right w:val="single" w:sz="8" w:space="0" w:color="auto"/>
            </w:tcBorders>
            <w:shd w:val="clear" w:color="auto" w:fill="BFBFBF" w:themeFill="background1" w:themeFillShade="BF"/>
            <w:vAlign w:val="center"/>
            <w:hideMark/>
          </w:tcPr>
          <w:p w14:paraId="737A7D3F" w14:textId="77777777" w:rsidR="00412FFD" w:rsidRPr="00C904A5" w:rsidRDefault="00162F2E" w:rsidP="00412FFD">
            <w:pPr>
              <w:autoSpaceDE/>
              <w:autoSpaceDN/>
              <w:adjustRightInd/>
              <w:spacing w:after="0"/>
              <w:jc w:val="right"/>
              <w:rPr>
                <w:rFonts w:eastAsia="Times New Roman" w:cs="Arial"/>
                <w:b/>
                <w:color w:val="auto"/>
                <w:sz w:val="20"/>
                <w:szCs w:val="20"/>
                <w:lang w:eastAsia="en-GB"/>
              </w:rPr>
            </w:pPr>
            <w:r w:rsidRPr="00C904A5">
              <w:rPr>
                <w:rFonts w:cs="Arial"/>
                <w:b/>
                <w:bCs/>
                <w:color w:val="auto"/>
                <w:sz w:val="20"/>
                <w:szCs w:val="20"/>
              </w:rPr>
              <w:t>87.719</w:t>
            </w:r>
          </w:p>
        </w:tc>
      </w:tr>
    </w:tbl>
    <w:p w14:paraId="0F8ACDCB" w14:textId="77777777" w:rsidR="00D10794" w:rsidRPr="00812801" w:rsidRDefault="00D10794" w:rsidP="00D10794">
      <w:pPr>
        <w:tabs>
          <w:tab w:val="left" w:pos="851"/>
        </w:tabs>
        <w:spacing w:after="0"/>
        <w:rPr>
          <w:b/>
          <w:highlight w:val="yellow"/>
        </w:rPr>
      </w:pPr>
    </w:p>
    <w:p w14:paraId="5B059214" w14:textId="77777777" w:rsidR="00D10794" w:rsidRPr="002D194F" w:rsidRDefault="00162F2E" w:rsidP="00D10794">
      <w:pPr>
        <w:tabs>
          <w:tab w:val="left" w:pos="851"/>
        </w:tabs>
        <w:spacing w:after="0"/>
        <w:rPr>
          <w:b/>
        </w:rPr>
      </w:pPr>
      <w:r w:rsidRPr="002D194F">
        <w:rPr>
          <w:b/>
        </w:rPr>
        <w:t>Provision for Bad and Doubtful Debts</w:t>
      </w:r>
    </w:p>
    <w:p w14:paraId="7FC1DEFB" w14:textId="77777777" w:rsidR="00D10794" w:rsidRPr="002D194F" w:rsidRDefault="00D10794" w:rsidP="00D10794">
      <w:pPr>
        <w:spacing w:after="0"/>
        <w:rPr>
          <w:b/>
        </w:rPr>
      </w:pPr>
    </w:p>
    <w:p w14:paraId="4B943B98" w14:textId="77777777" w:rsidR="00D10794" w:rsidRPr="00C6447B" w:rsidRDefault="00162F2E" w:rsidP="00D10794">
      <w:pPr>
        <w:spacing w:after="0"/>
      </w:pPr>
      <w:r w:rsidRPr="002D194F">
        <w:t xml:space="preserve">In addition to general provisions against known liabilities the Council maintains a provision against bad and doubtful debts.  </w:t>
      </w:r>
      <w:r w:rsidRPr="00C6447B">
        <w:t xml:space="preserve">For </w:t>
      </w:r>
      <w:r w:rsidR="004F05D5" w:rsidRPr="00C6447B">
        <w:t>2021/22</w:t>
      </w:r>
      <w:r w:rsidRPr="00C6447B">
        <w:t xml:space="preserve"> there has been a decrease in the provision of £</w:t>
      </w:r>
      <w:r w:rsidR="00B364F1" w:rsidRPr="00C6447B">
        <w:t>9.601</w:t>
      </w:r>
      <w:r w:rsidRPr="00C6447B">
        <w:t>m (</w:t>
      </w:r>
      <w:r w:rsidR="00403711" w:rsidRPr="00C6447B">
        <w:t>54.34</w:t>
      </w:r>
      <w:r w:rsidRPr="00C6447B">
        <w:t>%).</w:t>
      </w:r>
    </w:p>
    <w:p w14:paraId="0C4267D9" w14:textId="77777777" w:rsidR="00D10794" w:rsidRPr="00C6447B" w:rsidRDefault="00D10794" w:rsidP="00D10794">
      <w:pPr>
        <w:spacing w:after="0"/>
      </w:pPr>
    </w:p>
    <w:tbl>
      <w:tblPr>
        <w:tblW w:w="8931" w:type="dxa"/>
        <w:tblInd w:w="-10" w:type="dxa"/>
        <w:tblLook w:val="04A0" w:firstRow="1" w:lastRow="0" w:firstColumn="1" w:lastColumn="0" w:noHBand="0" w:noVBand="1"/>
      </w:tblPr>
      <w:tblGrid>
        <w:gridCol w:w="2835"/>
        <w:gridCol w:w="1985"/>
        <w:gridCol w:w="1984"/>
        <w:gridCol w:w="2127"/>
      </w:tblGrid>
      <w:tr w:rsidR="006E5B54" w14:paraId="571BC1AD" w14:textId="77777777" w:rsidTr="00D10794">
        <w:trPr>
          <w:trHeight w:val="340"/>
        </w:trPr>
        <w:tc>
          <w:tcPr>
            <w:tcW w:w="2835" w:type="dxa"/>
            <w:tcBorders>
              <w:top w:val="single" w:sz="8" w:space="0" w:color="auto"/>
              <w:left w:val="single" w:sz="8" w:space="0" w:color="auto"/>
              <w:right w:val="single" w:sz="4" w:space="0" w:color="auto"/>
            </w:tcBorders>
            <w:shd w:val="clear" w:color="000000" w:fill="BFBFBF"/>
            <w:vAlign w:val="center"/>
            <w:hideMark/>
          </w:tcPr>
          <w:p w14:paraId="6A96B956" w14:textId="77777777" w:rsidR="00D10794" w:rsidRPr="00C11EA9" w:rsidRDefault="00D10794" w:rsidP="00D10794">
            <w:pPr>
              <w:autoSpaceDE/>
              <w:autoSpaceDN/>
              <w:adjustRightInd/>
              <w:spacing w:after="0"/>
              <w:jc w:val="center"/>
              <w:rPr>
                <w:rFonts w:eastAsia="Times New Roman" w:cs="Arial"/>
                <w:b/>
                <w:sz w:val="20"/>
                <w:szCs w:val="20"/>
                <w:lang w:eastAsia="en-GB"/>
              </w:rPr>
            </w:pPr>
          </w:p>
        </w:tc>
        <w:tc>
          <w:tcPr>
            <w:tcW w:w="1985" w:type="dxa"/>
            <w:tcBorders>
              <w:top w:val="single" w:sz="8" w:space="0" w:color="auto"/>
              <w:left w:val="nil"/>
              <w:right w:val="single" w:sz="4" w:space="0" w:color="auto"/>
            </w:tcBorders>
            <w:shd w:val="clear" w:color="000000" w:fill="BFBFBF"/>
            <w:vAlign w:val="center"/>
            <w:hideMark/>
          </w:tcPr>
          <w:p w14:paraId="3350F95A" w14:textId="77777777" w:rsidR="00D10794" w:rsidRPr="00C11EA9" w:rsidRDefault="00162F2E" w:rsidP="00D10794">
            <w:pPr>
              <w:autoSpaceDE/>
              <w:autoSpaceDN/>
              <w:adjustRightInd/>
              <w:spacing w:after="0"/>
              <w:jc w:val="center"/>
              <w:rPr>
                <w:rFonts w:eastAsia="Times New Roman" w:cs="Arial"/>
                <w:b/>
                <w:sz w:val="20"/>
                <w:szCs w:val="20"/>
                <w:lang w:eastAsia="en-GB"/>
              </w:rPr>
            </w:pPr>
            <w:r w:rsidRPr="00C11EA9">
              <w:rPr>
                <w:rFonts w:eastAsia="Times New Roman" w:cs="Arial"/>
                <w:b/>
                <w:sz w:val="20"/>
                <w:szCs w:val="20"/>
                <w:lang w:eastAsia="en-GB"/>
              </w:rPr>
              <w:t xml:space="preserve">Opening Balance as at </w:t>
            </w:r>
            <w:r w:rsidRPr="00C11EA9">
              <w:rPr>
                <w:rFonts w:eastAsia="Times New Roman" w:cs="Arial"/>
                <w:b/>
                <w:sz w:val="20"/>
                <w:szCs w:val="20"/>
                <w:lang w:eastAsia="en-GB"/>
              </w:rPr>
              <w:br/>
              <w:t>1 April 202</w:t>
            </w:r>
            <w:r w:rsidR="009E1BDD" w:rsidRPr="00C11EA9">
              <w:rPr>
                <w:rFonts w:eastAsia="Times New Roman" w:cs="Arial"/>
                <w:b/>
                <w:sz w:val="20"/>
                <w:szCs w:val="20"/>
                <w:lang w:eastAsia="en-GB"/>
              </w:rPr>
              <w:t>1</w:t>
            </w:r>
          </w:p>
        </w:tc>
        <w:tc>
          <w:tcPr>
            <w:tcW w:w="1984" w:type="dxa"/>
            <w:tcBorders>
              <w:top w:val="single" w:sz="8" w:space="0" w:color="auto"/>
              <w:left w:val="nil"/>
              <w:right w:val="single" w:sz="4" w:space="0" w:color="auto"/>
            </w:tcBorders>
            <w:shd w:val="clear" w:color="000000" w:fill="BFBFBF"/>
            <w:vAlign w:val="center"/>
            <w:hideMark/>
          </w:tcPr>
          <w:p w14:paraId="447AB4C2" w14:textId="77777777" w:rsidR="00D10794" w:rsidRPr="00C11EA9" w:rsidRDefault="00162F2E" w:rsidP="00D10794">
            <w:pPr>
              <w:autoSpaceDE/>
              <w:autoSpaceDN/>
              <w:adjustRightInd/>
              <w:spacing w:after="0"/>
              <w:jc w:val="center"/>
              <w:rPr>
                <w:rFonts w:eastAsia="Times New Roman" w:cs="Arial"/>
                <w:b/>
                <w:sz w:val="20"/>
                <w:szCs w:val="20"/>
                <w:lang w:eastAsia="en-GB"/>
              </w:rPr>
            </w:pPr>
            <w:r w:rsidRPr="00C11EA9">
              <w:rPr>
                <w:rFonts w:eastAsia="Times New Roman" w:cs="Arial"/>
                <w:b/>
                <w:sz w:val="20"/>
                <w:szCs w:val="20"/>
                <w:lang w:eastAsia="en-GB"/>
              </w:rPr>
              <w:t>In Year Changes</w:t>
            </w:r>
          </w:p>
        </w:tc>
        <w:tc>
          <w:tcPr>
            <w:tcW w:w="2127" w:type="dxa"/>
            <w:tcBorders>
              <w:top w:val="single" w:sz="8" w:space="0" w:color="auto"/>
              <w:left w:val="nil"/>
              <w:right w:val="single" w:sz="4" w:space="0" w:color="auto"/>
            </w:tcBorders>
            <w:shd w:val="clear" w:color="000000" w:fill="BFBFBF"/>
            <w:vAlign w:val="center"/>
            <w:hideMark/>
          </w:tcPr>
          <w:p w14:paraId="32753FC2" w14:textId="77777777" w:rsidR="00D10794" w:rsidRPr="00C11EA9" w:rsidRDefault="00162F2E" w:rsidP="00D10794">
            <w:pPr>
              <w:autoSpaceDE/>
              <w:autoSpaceDN/>
              <w:adjustRightInd/>
              <w:spacing w:after="0"/>
              <w:jc w:val="center"/>
              <w:rPr>
                <w:rFonts w:eastAsia="Times New Roman" w:cs="Arial"/>
                <w:b/>
                <w:sz w:val="20"/>
                <w:szCs w:val="20"/>
                <w:lang w:eastAsia="en-GB"/>
              </w:rPr>
            </w:pPr>
            <w:r w:rsidRPr="00C11EA9">
              <w:rPr>
                <w:rFonts w:eastAsia="Times New Roman" w:cs="Arial"/>
                <w:b/>
                <w:sz w:val="20"/>
                <w:szCs w:val="20"/>
                <w:lang w:eastAsia="en-GB"/>
              </w:rPr>
              <w:t xml:space="preserve">Closing Balance as at </w:t>
            </w:r>
            <w:r w:rsidRPr="00C11EA9">
              <w:rPr>
                <w:rFonts w:eastAsia="Times New Roman" w:cs="Arial"/>
                <w:b/>
                <w:sz w:val="20"/>
                <w:szCs w:val="20"/>
                <w:lang w:eastAsia="en-GB"/>
              </w:rPr>
              <w:br/>
              <w:t>31st March 202</w:t>
            </w:r>
            <w:r w:rsidR="009E1BDD" w:rsidRPr="00C11EA9">
              <w:rPr>
                <w:rFonts w:eastAsia="Times New Roman" w:cs="Arial"/>
                <w:b/>
                <w:sz w:val="20"/>
                <w:szCs w:val="20"/>
                <w:lang w:eastAsia="en-GB"/>
              </w:rPr>
              <w:t>2</w:t>
            </w:r>
          </w:p>
        </w:tc>
      </w:tr>
      <w:tr w:rsidR="006E5B54" w14:paraId="6FB4CE05" w14:textId="77777777" w:rsidTr="003E5852">
        <w:trPr>
          <w:trHeight w:val="340"/>
        </w:trPr>
        <w:tc>
          <w:tcPr>
            <w:tcW w:w="2835" w:type="dxa"/>
            <w:tcBorders>
              <w:top w:val="nil"/>
              <w:left w:val="single" w:sz="8" w:space="0" w:color="auto"/>
              <w:bottom w:val="single" w:sz="4" w:space="0" w:color="auto"/>
              <w:right w:val="single" w:sz="4" w:space="0" w:color="auto"/>
            </w:tcBorders>
            <w:shd w:val="clear" w:color="000000" w:fill="BFBFBF"/>
            <w:vAlign w:val="bottom"/>
            <w:hideMark/>
          </w:tcPr>
          <w:p w14:paraId="5EE1FFA2" w14:textId="77777777" w:rsidR="00D10794" w:rsidRPr="00C11EA9" w:rsidRDefault="00162F2E" w:rsidP="00D10794">
            <w:pPr>
              <w:autoSpaceDE/>
              <w:autoSpaceDN/>
              <w:adjustRightInd/>
              <w:spacing w:after="0"/>
              <w:jc w:val="left"/>
              <w:rPr>
                <w:rFonts w:eastAsia="Times New Roman" w:cs="Arial"/>
                <w:sz w:val="20"/>
                <w:szCs w:val="20"/>
                <w:lang w:eastAsia="en-GB"/>
              </w:rPr>
            </w:pPr>
            <w:r w:rsidRPr="00C11EA9">
              <w:rPr>
                <w:rFonts w:eastAsia="Times New Roman" w:cs="Arial"/>
                <w:sz w:val="20"/>
                <w:szCs w:val="20"/>
                <w:lang w:eastAsia="en-GB"/>
              </w:rPr>
              <w:t> </w:t>
            </w:r>
          </w:p>
        </w:tc>
        <w:tc>
          <w:tcPr>
            <w:tcW w:w="1985" w:type="dxa"/>
            <w:tcBorders>
              <w:top w:val="nil"/>
              <w:left w:val="nil"/>
              <w:bottom w:val="single" w:sz="4" w:space="0" w:color="auto"/>
              <w:right w:val="single" w:sz="4" w:space="0" w:color="auto"/>
            </w:tcBorders>
            <w:shd w:val="clear" w:color="000000" w:fill="BFBFBF"/>
            <w:noWrap/>
            <w:vAlign w:val="bottom"/>
            <w:hideMark/>
          </w:tcPr>
          <w:p w14:paraId="1F18D860" w14:textId="77777777" w:rsidR="00D10794" w:rsidRPr="00C11EA9" w:rsidRDefault="00162F2E" w:rsidP="00D10794">
            <w:pPr>
              <w:autoSpaceDE/>
              <w:autoSpaceDN/>
              <w:adjustRightInd/>
              <w:spacing w:after="0"/>
              <w:jc w:val="center"/>
              <w:rPr>
                <w:rFonts w:eastAsia="Times New Roman" w:cs="Arial"/>
                <w:b/>
                <w:sz w:val="20"/>
                <w:szCs w:val="20"/>
                <w:lang w:eastAsia="en-GB"/>
              </w:rPr>
            </w:pPr>
            <w:r w:rsidRPr="00C11EA9">
              <w:rPr>
                <w:rFonts w:eastAsia="Times New Roman" w:cs="Arial"/>
                <w:b/>
                <w:sz w:val="20"/>
                <w:szCs w:val="20"/>
                <w:lang w:eastAsia="en-GB"/>
              </w:rPr>
              <w:t>£m</w:t>
            </w:r>
          </w:p>
        </w:tc>
        <w:tc>
          <w:tcPr>
            <w:tcW w:w="1984" w:type="dxa"/>
            <w:tcBorders>
              <w:top w:val="nil"/>
              <w:left w:val="nil"/>
              <w:bottom w:val="single" w:sz="4" w:space="0" w:color="auto"/>
              <w:right w:val="single" w:sz="4" w:space="0" w:color="auto"/>
            </w:tcBorders>
            <w:shd w:val="clear" w:color="000000" w:fill="BFBFBF"/>
            <w:noWrap/>
            <w:vAlign w:val="bottom"/>
            <w:hideMark/>
          </w:tcPr>
          <w:p w14:paraId="17318B48" w14:textId="77777777" w:rsidR="00D10794" w:rsidRPr="00C11EA9" w:rsidRDefault="00162F2E" w:rsidP="00D10794">
            <w:pPr>
              <w:autoSpaceDE/>
              <w:autoSpaceDN/>
              <w:adjustRightInd/>
              <w:spacing w:after="0"/>
              <w:jc w:val="center"/>
              <w:rPr>
                <w:rFonts w:eastAsia="Times New Roman" w:cs="Arial"/>
                <w:b/>
                <w:sz w:val="20"/>
                <w:szCs w:val="20"/>
                <w:lang w:eastAsia="en-GB"/>
              </w:rPr>
            </w:pPr>
            <w:r w:rsidRPr="00C11EA9">
              <w:rPr>
                <w:rFonts w:eastAsia="Times New Roman" w:cs="Arial"/>
                <w:b/>
                <w:sz w:val="20"/>
                <w:szCs w:val="20"/>
                <w:lang w:eastAsia="en-GB"/>
              </w:rPr>
              <w:t>£m</w:t>
            </w:r>
          </w:p>
        </w:tc>
        <w:tc>
          <w:tcPr>
            <w:tcW w:w="2127" w:type="dxa"/>
            <w:tcBorders>
              <w:top w:val="nil"/>
              <w:left w:val="nil"/>
              <w:bottom w:val="single" w:sz="4" w:space="0" w:color="auto"/>
              <w:right w:val="single" w:sz="4" w:space="0" w:color="auto"/>
            </w:tcBorders>
            <w:shd w:val="clear" w:color="000000" w:fill="BFBFBF"/>
            <w:noWrap/>
            <w:vAlign w:val="bottom"/>
            <w:hideMark/>
          </w:tcPr>
          <w:p w14:paraId="62B909AB" w14:textId="77777777" w:rsidR="00D10794" w:rsidRPr="00C11EA9" w:rsidRDefault="00162F2E" w:rsidP="00D10794">
            <w:pPr>
              <w:autoSpaceDE/>
              <w:autoSpaceDN/>
              <w:adjustRightInd/>
              <w:spacing w:after="0"/>
              <w:jc w:val="center"/>
              <w:rPr>
                <w:rFonts w:eastAsia="Times New Roman" w:cs="Arial"/>
                <w:b/>
                <w:sz w:val="20"/>
                <w:szCs w:val="20"/>
                <w:lang w:eastAsia="en-GB"/>
              </w:rPr>
            </w:pPr>
            <w:r w:rsidRPr="00C11EA9">
              <w:rPr>
                <w:rFonts w:eastAsia="Times New Roman" w:cs="Arial"/>
                <w:b/>
                <w:sz w:val="20"/>
                <w:szCs w:val="20"/>
                <w:lang w:eastAsia="en-GB"/>
              </w:rPr>
              <w:t>£m</w:t>
            </w:r>
          </w:p>
        </w:tc>
      </w:tr>
      <w:tr w:rsidR="006E5B54" w14:paraId="20B83F25" w14:textId="77777777" w:rsidTr="00D10794">
        <w:trPr>
          <w:trHeight w:val="340"/>
        </w:trPr>
        <w:tc>
          <w:tcPr>
            <w:tcW w:w="2835" w:type="dxa"/>
            <w:tcBorders>
              <w:top w:val="nil"/>
              <w:left w:val="single" w:sz="8" w:space="0" w:color="auto"/>
              <w:bottom w:val="single" w:sz="4" w:space="0" w:color="auto"/>
              <w:right w:val="single" w:sz="4" w:space="0" w:color="auto"/>
            </w:tcBorders>
            <w:shd w:val="clear" w:color="auto" w:fill="auto"/>
            <w:vAlign w:val="center"/>
            <w:hideMark/>
          </w:tcPr>
          <w:p w14:paraId="06507B0C" w14:textId="77777777" w:rsidR="00D10794" w:rsidRPr="00C11EA9" w:rsidRDefault="00162F2E" w:rsidP="00D10794">
            <w:pPr>
              <w:autoSpaceDE/>
              <w:autoSpaceDN/>
              <w:adjustRightInd/>
              <w:spacing w:after="0"/>
              <w:jc w:val="left"/>
              <w:rPr>
                <w:rFonts w:eastAsia="Times New Roman" w:cs="Arial"/>
                <w:sz w:val="20"/>
                <w:szCs w:val="20"/>
                <w:lang w:eastAsia="en-GB"/>
              </w:rPr>
            </w:pPr>
            <w:r w:rsidRPr="00C11EA9">
              <w:rPr>
                <w:rFonts w:eastAsia="Times New Roman" w:cs="Arial"/>
                <w:sz w:val="20"/>
                <w:szCs w:val="20"/>
                <w:lang w:eastAsia="en-GB"/>
              </w:rPr>
              <w:t>Corporate Bad Debt Provision</w:t>
            </w:r>
          </w:p>
        </w:tc>
        <w:tc>
          <w:tcPr>
            <w:tcW w:w="1985" w:type="dxa"/>
            <w:tcBorders>
              <w:top w:val="nil"/>
              <w:left w:val="nil"/>
              <w:bottom w:val="single" w:sz="4" w:space="0" w:color="auto"/>
              <w:right w:val="single" w:sz="4" w:space="0" w:color="auto"/>
            </w:tcBorders>
            <w:shd w:val="clear" w:color="auto" w:fill="auto"/>
            <w:noWrap/>
            <w:vAlign w:val="center"/>
            <w:hideMark/>
          </w:tcPr>
          <w:p w14:paraId="588D3E1F" w14:textId="77777777" w:rsidR="00D10794" w:rsidRPr="00C11EA9" w:rsidRDefault="00162F2E" w:rsidP="00D10794">
            <w:pPr>
              <w:autoSpaceDE/>
              <w:autoSpaceDN/>
              <w:adjustRightInd/>
              <w:spacing w:after="0"/>
              <w:jc w:val="center"/>
              <w:rPr>
                <w:rFonts w:eastAsia="Times New Roman" w:cs="Arial"/>
                <w:sz w:val="20"/>
                <w:szCs w:val="20"/>
                <w:lang w:eastAsia="en-GB"/>
              </w:rPr>
            </w:pPr>
            <w:r w:rsidRPr="00C11EA9">
              <w:rPr>
                <w:rFonts w:eastAsia="Times New Roman" w:cs="Arial"/>
                <w:sz w:val="20"/>
                <w:szCs w:val="20"/>
                <w:lang w:eastAsia="en-GB"/>
              </w:rPr>
              <w:t>-17.668</w:t>
            </w:r>
          </w:p>
        </w:tc>
        <w:tc>
          <w:tcPr>
            <w:tcW w:w="1984" w:type="dxa"/>
            <w:tcBorders>
              <w:top w:val="nil"/>
              <w:left w:val="nil"/>
              <w:bottom w:val="single" w:sz="4" w:space="0" w:color="auto"/>
              <w:right w:val="single" w:sz="4" w:space="0" w:color="auto"/>
            </w:tcBorders>
            <w:shd w:val="clear" w:color="auto" w:fill="auto"/>
            <w:noWrap/>
            <w:vAlign w:val="center"/>
            <w:hideMark/>
          </w:tcPr>
          <w:p w14:paraId="3D94FF08" w14:textId="77777777" w:rsidR="00D10794" w:rsidRPr="00C11EA9" w:rsidRDefault="00162F2E" w:rsidP="00D10794">
            <w:pPr>
              <w:autoSpaceDE/>
              <w:autoSpaceDN/>
              <w:adjustRightInd/>
              <w:spacing w:after="0"/>
              <w:jc w:val="center"/>
              <w:rPr>
                <w:rFonts w:eastAsia="Times New Roman" w:cs="Arial"/>
                <w:sz w:val="20"/>
                <w:szCs w:val="20"/>
                <w:lang w:eastAsia="en-GB"/>
              </w:rPr>
            </w:pPr>
            <w:r w:rsidRPr="00C11EA9">
              <w:rPr>
                <w:rFonts w:eastAsia="Times New Roman" w:cs="Arial"/>
                <w:sz w:val="20"/>
                <w:szCs w:val="20"/>
                <w:lang w:eastAsia="en-GB"/>
              </w:rPr>
              <w:t>9.601</w:t>
            </w:r>
          </w:p>
        </w:tc>
        <w:tc>
          <w:tcPr>
            <w:tcW w:w="2127" w:type="dxa"/>
            <w:tcBorders>
              <w:top w:val="nil"/>
              <w:left w:val="nil"/>
              <w:bottom w:val="single" w:sz="4" w:space="0" w:color="auto"/>
              <w:right w:val="single" w:sz="4" w:space="0" w:color="auto"/>
            </w:tcBorders>
            <w:shd w:val="clear" w:color="auto" w:fill="auto"/>
            <w:noWrap/>
            <w:vAlign w:val="center"/>
            <w:hideMark/>
          </w:tcPr>
          <w:p w14:paraId="1808B298" w14:textId="77777777" w:rsidR="00D10794" w:rsidRPr="00C11EA9" w:rsidRDefault="00162F2E" w:rsidP="00D10794">
            <w:pPr>
              <w:autoSpaceDE/>
              <w:autoSpaceDN/>
              <w:adjustRightInd/>
              <w:spacing w:after="0"/>
              <w:jc w:val="center"/>
              <w:rPr>
                <w:rFonts w:eastAsia="Times New Roman" w:cs="Arial"/>
                <w:sz w:val="20"/>
                <w:szCs w:val="20"/>
                <w:lang w:eastAsia="en-GB"/>
              </w:rPr>
            </w:pPr>
            <w:r w:rsidRPr="00C11EA9">
              <w:rPr>
                <w:rFonts w:eastAsia="Times New Roman" w:cs="Arial"/>
                <w:sz w:val="20"/>
                <w:szCs w:val="20"/>
                <w:lang w:eastAsia="en-GB"/>
              </w:rPr>
              <w:t>-8.066</w:t>
            </w:r>
          </w:p>
        </w:tc>
      </w:tr>
    </w:tbl>
    <w:p w14:paraId="3076DB46" w14:textId="77777777" w:rsidR="00B61F72" w:rsidRPr="00812801" w:rsidRDefault="00B61F72" w:rsidP="00D10794">
      <w:pPr>
        <w:autoSpaceDE/>
        <w:autoSpaceDN/>
        <w:adjustRightInd/>
        <w:spacing w:after="0"/>
        <w:rPr>
          <w:highlight w:val="yellow"/>
        </w:rPr>
      </w:pPr>
    </w:p>
    <w:p w14:paraId="5AC6E7C4" w14:textId="77777777" w:rsidR="00D10794" w:rsidRPr="006C50B5" w:rsidRDefault="00162F2E" w:rsidP="006C50B5">
      <w:pPr>
        <w:autoSpaceDE/>
        <w:autoSpaceDN/>
        <w:adjustRightInd/>
        <w:spacing w:after="0"/>
        <w:rPr>
          <w:b/>
          <w:highlight w:val="yellow"/>
        </w:rPr>
      </w:pPr>
      <w:r w:rsidRPr="002D194F">
        <w:rPr>
          <w:b/>
        </w:rPr>
        <w:t>General Provisions</w:t>
      </w:r>
    </w:p>
    <w:p w14:paraId="1BB63427" w14:textId="77777777" w:rsidR="00D10794" w:rsidRPr="002D194F" w:rsidRDefault="00D10794" w:rsidP="00D10794">
      <w:pPr>
        <w:spacing w:after="0"/>
        <w:rPr>
          <w:b/>
        </w:rPr>
      </w:pPr>
    </w:p>
    <w:p w14:paraId="37FB8FDD" w14:textId="77777777" w:rsidR="00D10794" w:rsidRPr="002D194F" w:rsidRDefault="00162F2E" w:rsidP="00D10794">
      <w:pPr>
        <w:spacing w:after="0"/>
      </w:pPr>
      <w:r w:rsidRPr="002D194F">
        <w:t>General Provisions which are set aside for specifically quantified liabilities such as insurance claims. Movements in general provisions are summarised in the table below:</w:t>
      </w:r>
    </w:p>
    <w:p w14:paraId="48CAE701" w14:textId="77777777" w:rsidR="005A102F" w:rsidRDefault="005A102F" w:rsidP="00D10794">
      <w:pPr>
        <w:spacing w:after="0"/>
      </w:pPr>
    </w:p>
    <w:tbl>
      <w:tblPr>
        <w:tblW w:w="8830" w:type="dxa"/>
        <w:tblLayout w:type="fixed"/>
        <w:tblLook w:val="04A0" w:firstRow="1" w:lastRow="0" w:firstColumn="1" w:lastColumn="0" w:noHBand="0" w:noVBand="1"/>
      </w:tblPr>
      <w:tblGrid>
        <w:gridCol w:w="3676"/>
        <w:gridCol w:w="1718"/>
        <w:gridCol w:w="1718"/>
        <w:gridCol w:w="1718"/>
      </w:tblGrid>
      <w:tr w:rsidR="006E5B54" w14:paraId="27AAC1C7" w14:textId="77777777" w:rsidTr="0CFBF26B">
        <w:trPr>
          <w:trHeight w:val="686"/>
        </w:trPr>
        <w:tc>
          <w:tcPr>
            <w:tcW w:w="3676" w:type="dxa"/>
            <w:tcBorders>
              <w:top w:val="single" w:sz="8" w:space="0" w:color="auto"/>
              <w:left w:val="single" w:sz="8" w:space="0" w:color="auto"/>
              <w:bottom w:val="nil"/>
              <w:right w:val="single" w:sz="8" w:space="0" w:color="auto"/>
            </w:tcBorders>
            <w:shd w:val="clear" w:color="auto" w:fill="BFBFBF" w:themeFill="background1" w:themeFillShade="BF"/>
            <w:vAlign w:val="center"/>
            <w:hideMark/>
          </w:tcPr>
          <w:p w14:paraId="2B0CE369"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 </w:t>
            </w:r>
          </w:p>
        </w:tc>
        <w:tc>
          <w:tcPr>
            <w:tcW w:w="1718" w:type="dxa"/>
            <w:tcBorders>
              <w:top w:val="single" w:sz="8" w:space="0" w:color="auto"/>
              <w:left w:val="nil"/>
              <w:bottom w:val="nil"/>
              <w:right w:val="single" w:sz="8" w:space="0" w:color="auto"/>
            </w:tcBorders>
            <w:shd w:val="clear" w:color="auto" w:fill="BFBFBF" w:themeFill="background1" w:themeFillShade="BF"/>
            <w:vAlign w:val="center"/>
            <w:hideMark/>
          </w:tcPr>
          <w:p w14:paraId="287D0904" w14:textId="77777777" w:rsidR="005A102F" w:rsidRPr="00C11EA9" w:rsidRDefault="00162F2E" w:rsidP="0072077C">
            <w:pPr>
              <w:spacing w:after="0"/>
              <w:jc w:val="center"/>
              <w:rPr>
                <w:rFonts w:eastAsia="Times New Roman" w:cs="Arial"/>
                <w:b/>
                <w:bCs/>
                <w:sz w:val="20"/>
                <w:szCs w:val="20"/>
                <w:lang w:eastAsia="en-GB"/>
              </w:rPr>
            </w:pPr>
            <w:r w:rsidRPr="00C11EA9">
              <w:rPr>
                <w:rFonts w:eastAsia="Times New Roman" w:cs="Arial"/>
                <w:b/>
                <w:bCs/>
                <w:sz w:val="20"/>
                <w:szCs w:val="20"/>
                <w:lang w:eastAsia="en-GB"/>
              </w:rPr>
              <w:t xml:space="preserve">Opening Balance as </w:t>
            </w:r>
            <w:bookmarkStart w:id="24" w:name="_Int_il1RW6at"/>
            <w:r w:rsidRPr="00C11EA9">
              <w:rPr>
                <w:rFonts w:eastAsia="Times New Roman" w:cs="Arial"/>
                <w:b/>
                <w:bCs/>
                <w:sz w:val="20"/>
                <w:szCs w:val="20"/>
                <w:lang w:eastAsia="en-GB"/>
              </w:rPr>
              <w:t>at</w:t>
            </w:r>
            <w:bookmarkEnd w:id="24"/>
            <w:r w:rsidRPr="00C11EA9">
              <w:rPr>
                <w:rFonts w:eastAsia="Times New Roman" w:cs="Arial"/>
                <w:b/>
                <w:bCs/>
                <w:sz w:val="20"/>
                <w:szCs w:val="20"/>
                <w:lang w:eastAsia="en-GB"/>
              </w:rPr>
              <w:t xml:space="preserve"> 1 April 2021</w:t>
            </w:r>
          </w:p>
        </w:tc>
        <w:tc>
          <w:tcPr>
            <w:tcW w:w="1718" w:type="dxa"/>
            <w:tcBorders>
              <w:top w:val="single" w:sz="8" w:space="0" w:color="auto"/>
              <w:left w:val="nil"/>
              <w:bottom w:val="nil"/>
              <w:right w:val="single" w:sz="8" w:space="0" w:color="auto"/>
            </w:tcBorders>
            <w:shd w:val="clear" w:color="auto" w:fill="BFBFBF" w:themeFill="background1" w:themeFillShade="BF"/>
            <w:vAlign w:val="center"/>
            <w:hideMark/>
          </w:tcPr>
          <w:p w14:paraId="5FCF9812" w14:textId="77777777" w:rsidR="005A102F" w:rsidRPr="00C11EA9" w:rsidRDefault="00162F2E" w:rsidP="0072077C">
            <w:pPr>
              <w:spacing w:after="0"/>
              <w:jc w:val="center"/>
              <w:rPr>
                <w:rFonts w:eastAsia="Times New Roman" w:cs="Arial"/>
                <w:b/>
                <w:bCs/>
                <w:sz w:val="20"/>
                <w:szCs w:val="20"/>
                <w:lang w:eastAsia="en-GB"/>
              </w:rPr>
            </w:pPr>
            <w:r w:rsidRPr="00C11EA9">
              <w:rPr>
                <w:rFonts w:eastAsia="Times New Roman" w:cs="Arial"/>
                <w:b/>
                <w:bCs/>
                <w:sz w:val="20"/>
                <w:szCs w:val="20"/>
                <w:lang w:eastAsia="en-GB"/>
              </w:rPr>
              <w:t>In Year Changes</w:t>
            </w:r>
          </w:p>
        </w:tc>
        <w:tc>
          <w:tcPr>
            <w:tcW w:w="1718" w:type="dxa"/>
            <w:tcBorders>
              <w:top w:val="single" w:sz="8" w:space="0" w:color="auto"/>
              <w:left w:val="nil"/>
              <w:bottom w:val="nil"/>
              <w:right w:val="single" w:sz="8" w:space="0" w:color="auto"/>
            </w:tcBorders>
            <w:shd w:val="clear" w:color="auto" w:fill="BFBFBF" w:themeFill="background1" w:themeFillShade="BF"/>
            <w:vAlign w:val="center"/>
            <w:hideMark/>
          </w:tcPr>
          <w:p w14:paraId="3A09DE87" w14:textId="77777777" w:rsidR="005A102F" w:rsidRPr="00C11EA9" w:rsidRDefault="00162F2E" w:rsidP="0072077C">
            <w:pPr>
              <w:spacing w:after="0"/>
              <w:jc w:val="center"/>
              <w:rPr>
                <w:rFonts w:eastAsia="Times New Roman" w:cs="Arial"/>
                <w:b/>
                <w:bCs/>
                <w:sz w:val="20"/>
                <w:szCs w:val="20"/>
                <w:lang w:eastAsia="en-GB"/>
              </w:rPr>
            </w:pPr>
            <w:r w:rsidRPr="00C11EA9">
              <w:rPr>
                <w:rFonts w:eastAsia="Times New Roman" w:cs="Arial"/>
                <w:b/>
                <w:bCs/>
                <w:sz w:val="20"/>
                <w:szCs w:val="20"/>
                <w:lang w:eastAsia="en-GB"/>
              </w:rPr>
              <w:t xml:space="preserve">Closing Balance as </w:t>
            </w:r>
            <w:bookmarkStart w:id="25" w:name="_Int_frVfl6UH"/>
            <w:r w:rsidRPr="00C11EA9">
              <w:rPr>
                <w:rFonts w:eastAsia="Times New Roman" w:cs="Arial"/>
                <w:b/>
                <w:bCs/>
                <w:sz w:val="20"/>
                <w:szCs w:val="20"/>
                <w:lang w:eastAsia="en-GB"/>
              </w:rPr>
              <w:t>at</w:t>
            </w:r>
            <w:bookmarkEnd w:id="25"/>
            <w:r w:rsidRPr="00C11EA9">
              <w:rPr>
                <w:rFonts w:eastAsia="Times New Roman" w:cs="Arial"/>
                <w:b/>
                <w:bCs/>
                <w:sz w:val="20"/>
                <w:szCs w:val="20"/>
                <w:lang w:eastAsia="en-GB"/>
              </w:rPr>
              <w:t xml:space="preserve"> 31st March 2022</w:t>
            </w:r>
          </w:p>
        </w:tc>
      </w:tr>
      <w:tr w:rsidR="006E5B54" w14:paraId="64050716" w14:textId="77777777" w:rsidTr="0CFBF26B">
        <w:trPr>
          <w:trHeight w:val="356"/>
        </w:trPr>
        <w:tc>
          <w:tcPr>
            <w:tcW w:w="367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5CD8B5E0"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 </w:t>
            </w:r>
          </w:p>
        </w:tc>
        <w:tc>
          <w:tcPr>
            <w:tcW w:w="1718" w:type="dxa"/>
            <w:tcBorders>
              <w:top w:val="nil"/>
              <w:left w:val="nil"/>
              <w:bottom w:val="single" w:sz="8" w:space="0" w:color="auto"/>
              <w:right w:val="single" w:sz="8" w:space="0" w:color="auto"/>
            </w:tcBorders>
            <w:shd w:val="clear" w:color="auto" w:fill="BFBFBF" w:themeFill="background1" w:themeFillShade="BF"/>
            <w:noWrap/>
            <w:vAlign w:val="center"/>
            <w:hideMark/>
          </w:tcPr>
          <w:p w14:paraId="00C63044" w14:textId="77777777" w:rsidR="005A102F" w:rsidRPr="00C11EA9" w:rsidRDefault="00162F2E" w:rsidP="0072077C">
            <w:pPr>
              <w:spacing w:after="0"/>
              <w:jc w:val="center"/>
              <w:rPr>
                <w:rFonts w:eastAsia="Times New Roman" w:cs="Arial"/>
                <w:b/>
                <w:bCs/>
                <w:sz w:val="20"/>
                <w:szCs w:val="20"/>
                <w:lang w:eastAsia="en-GB"/>
              </w:rPr>
            </w:pPr>
            <w:r w:rsidRPr="00C11EA9">
              <w:rPr>
                <w:rFonts w:eastAsia="Times New Roman" w:cs="Arial"/>
                <w:b/>
                <w:bCs/>
                <w:sz w:val="20"/>
                <w:szCs w:val="20"/>
                <w:lang w:eastAsia="en-GB"/>
              </w:rPr>
              <w:t>£m</w:t>
            </w:r>
          </w:p>
        </w:tc>
        <w:tc>
          <w:tcPr>
            <w:tcW w:w="1718" w:type="dxa"/>
            <w:tcBorders>
              <w:top w:val="nil"/>
              <w:left w:val="nil"/>
              <w:bottom w:val="single" w:sz="8" w:space="0" w:color="auto"/>
              <w:right w:val="single" w:sz="8" w:space="0" w:color="auto"/>
            </w:tcBorders>
            <w:shd w:val="clear" w:color="auto" w:fill="BFBFBF" w:themeFill="background1" w:themeFillShade="BF"/>
            <w:noWrap/>
            <w:vAlign w:val="center"/>
            <w:hideMark/>
          </w:tcPr>
          <w:p w14:paraId="4E3644AB" w14:textId="77777777" w:rsidR="005A102F" w:rsidRPr="00C11EA9" w:rsidRDefault="00162F2E" w:rsidP="0072077C">
            <w:pPr>
              <w:spacing w:after="0"/>
              <w:jc w:val="center"/>
              <w:rPr>
                <w:rFonts w:eastAsia="Times New Roman" w:cs="Arial"/>
                <w:b/>
                <w:bCs/>
                <w:sz w:val="20"/>
                <w:szCs w:val="20"/>
                <w:lang w:eastAsia="en-GB"/>
              </w:rPr>
            </w:pPr>
            <w:r w:rsidRPr="00C11EA9">
              <w:rPr>
                <w:rFonts w:eastAsia="Times New Roman" w:cs="Arial"/>
                <w:b/>
                <w:bCs/>
                <w:sz w:val="20"/>
                <w:szCs w:val="20"/>
                <w:lang w:eastAsia="en-GB"/>
              </w:rPr>
              <w:t>£m</w:t>
            </w:r>
          </w:p>
        </w:tc>
        <w:tc>
          <w:tcPr>
            <w:tcW w:w="1718" w:type="dxa"/>
            <w:tcBorders>
              <w:top w:val="nil"/>
              <w:left w:val="nil"/>
              <w:bottom w:val="single" w:sz="8" w:space="0" w:color="auto"/>
              <w:right w:val="single" w:sz="8" w:space="0" w:color="auto"/>
            </w:tcBorders>
            <w:shd w:val="clear" w:color="auto" w:fill="BFBFBF" w:themeFill="background1" w:themeFillShade="BF"/>
            <w:noWrap/>
            <w:vAlign w:val="center"/>
            <w:hideMark/>
          </w:tcPr>
          <w:p w14:paraId="12F53528" w14:textId="77777777" w:rsidR="005A102F" w:rsidRPr="00C11EA9" w:rsidRDefault="00162F2E" w:rsidP="0072077C">
            <w:pPr>
              <w:spacing w:after="0"/>
              <w:jc w:val="center"/>
              <w:rPr>
                <w:rFonts w:eastAsia="Times New Roman" w:cs="Arial"/>
                <w:b/>
                <w:bCs/>
                <w:sz w:val="20"/>
                <w:szCs w:val="20"/>
                <w:lang w:eastAsia="en-GB"/>
              </w:rPr>
            </w:pPr>
            <w:r w:rsidRPr="00C11EA9">
              <w:rPr>
                <w:rFonts w:eastAsia="Times New Roman" w:cs="Arial"/>
                <w:b/>
                <w:bCs/>
                <w:sz w:val="20"/>
                <w:szCs w:val="20"/>
                <w:lang w:eastAsia="en-GB"/>
              </w:rPr>
              <w:t>£m</w:t>
            </w:r>
          </w:p>
        </w:tc>
      </w:tr>
      <w:tr w:rsidR="006E5B54" w14:paraId="10D070DC" w14:textId="77777777" w:rsidTr="0072077C">
        <w:trPr>
          <w:trHeight w:val="3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2FEDC2BE"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Adult Services - Safeguarding</w:t>
            </w:r>
          </w:p>
        </w:tc>
        <w:tc>
          <w:tcPr>
            <w:tcW w:w="1718" w:type="dxa"/>
            <w:tcBorders>
              <w:top w:val="nil"/>
              <w:left w:val="nil"/>
              <w:bottom w:val="single" w:sz="8" w:space="0" w:color="auto"/>
              <w:right w:val="single" w:sz="8" w:space="0" w:color="auto"/>
            </w:tcBorders>
            <w:shd w:val="clear" w:color="auto" w:fill="auto"/>
            <w:noWrap/>
            <w:vAlign w:val="center"/>
            <w:hideMark/>
          </w:tcPr>
          <w:p w14:paraId="4F54AE24"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-0.968 </w:t>
            </w:r>
          </w:p>
        </w:tc>
        <w:tc>
          <w:tcPr>
            <w:tcW w:w="1718" w:type="dxa"/>
            <w:tcBorders>
              <w:top w:val="nil"/>
              <w:left w:val="nil"/>
              <w:bottom w:val="single" w:sz="8" w:space="0" w:color="auto"/>
              <w:right w:val="single" w:sz="8" w:space="0" w:color="auto"/>
            </w:tcBorders>
            <w:shd w:val="clear" w:color="auto" w:fill="auto"/>
            <w:noWrap/>
            <w:vAlign w:val="center"/>
            <w:hideMark/>
          </w:tcPr>
          <w:p w14:paraId="7EA980FA"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   </w:t>
            </w:r>
          </w:p>
        </w:tc>
        <w:tc>
          <w:tcPr>
            <w:tcW w:w="1718" w:type="dxa"/>
            <w:tcBorders>
              <w:top w:val="nil"/>
              <w:left w:val="nil"/>
              <w:bottom w:val="single" w:sz="8" w:space="0" w:color="auto"/>
              <w:right w:val="single" w:sz="8" w:space="0" w:color="auto"/>
            </w:tcBorders>
            <w:shd w:val="clear" w:color="auto" w:fill="auto"/>
            <w:noWrap/>
            <w:vAlign w:val="center"/>
            <w:hideMark/>
          </w:tcPr>
          <w:p w14:paraId="47C5F839"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-0.968 </w:t>
            </w:r>
          </w:p>
        </w:tc>
      </w:tr>
      <w:tr w:rsidR="006E5B54" w14:paraId="1EAD4D36" w14:textId="77777777" w:rsidTr="0072077C">
        <w:trPr>
          <w:trHeight w:val="3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27866CB5"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Adult Services – General</w:t>
            </w:r>
          </w:p>
        </w:tc>
        <w:tc>
          <w:tcPr>
            <w:tcW w:w="1718" w:type="dxa"/>
            <w:tcBorders>
              <w:top w:val="nil"/>
              <w:left w:val="nil"/>
              <w:bottom w:val="single" w:sz="8" w:space="0" w:color="auto"/>
              <w:right w:val="single" w:sz="8" w:space="0" w:color="auto"/>
            </w:tcBorders>
            <w:shd w:val="clear" w:color="auto" w:fill="auto"/>
            <w:noWrap/>
            <w:vAlign w:val="center"/>
            <w:hideMark/>
          </w:tcPr>
          <w:p w14:paraId="6B052BDA"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-1.852 </w:t>
            </w:r>
          </w:p>
        </w:tc>
        <w:tc>
          <w:tcPr>
            <w:tcW w:w="1718" w:type="dxa"/>
            <w:tcBorders>
              <w:top w:val="nil"/>
              <w:left w:val="nil"/>
              <w:bottom w:val="single" w:sz="8" w:space="0" w:color="auto"/>
              <w:right w:val="single" w:sz="8" w:space="0" w:color="auto"/>
            </w:tcBorders>
            <w:shd w:val="clear" w:color="auto" w:fill="auto"/>
            <w:noWrap/>
            <w:vAlign w:val="center"/>
            <w:hideMark/>
          </w:tcPr>
          <w:p w14:paraId="40702AB4"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-1.718 </w:t>
            </w:r>
          </w:p>
        </w:tc>
        <w:tc>
          <w:tcPr>
            <w:tcW w:w="1718" w:type="dxa"/>
            <w:tcBorders>
              <w:top w:val="nil"/>
              <w:left w:val="nil"/>
              <w:bottom w:val="single" w:sz="8" w:space="0" w:color="auto"/>
              <w:right w:val="single" w:sz="8" w:space="0" w:color="auto"/>
            </w:tcBorders>
            <w:shd w:val="clear" w:color="auto" w:fill="auto"/>
            <w:noWrap/>
            <w:vAlign w:val="center"/>
            <w:hideMark/>
          </w:tcPr>
          <w:p w14:paraId="2A23136F"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-3.570 </w:t>
            </w:r>
          </w:p>
        </w:tc>
      </w:tr>
      <w:tr w:rsidR="006E5B54" w14:paraId="4C35074D" w14:textId="77777777" w:rsidTr="0072077C">
        <w:trPr>
          <w:trHeight w:val="3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977D9D2"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Financial Resources</w:t>
            </w:r>
          </w:p>
        </w:tc>
        <w:tc>
          <w:tcPr>
            <w:tcW w:w="1718" w:type="dxa"/>
            <w:tcBorders>
              <w:top w:val="nil"/>
              <w:left w:val="nil"/>
              <w:bottom w:val="single" w:sz="8" w:space="0" w:color="auto"/>
              <w:right w:val="single" w:sz="8" w:space="0" w:color="auto"/>
            </w:tcBorders>
            <w:shd w:val="clear" w:color="auto" w:fill="auto"/>
            <w:noWrap/>
            <w:vAlign w:val="center"/>
            <w:hideMark/>
          </w:tcPr>
          <w:p w14:paraId="05EC38E4"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-0.044 </w:t>
            </w:r>
          </w:p>
        </w:tc>
        <w:tc>
          <w:tcPr>
            <w:tcW w:w="1718" w:type="dxa"/>
            <w:tcBorders>
              <w:top w:val="nil"/>
              <w:left w:val="nil"/>
              <w:bottom w:val="single" w:sz="8" w:space="0" w:color="auto"/>
              <w:right w:val="single" w:sz="8" w:space="0" w:color="auto"/>
            </w:tcBorders>
            <w:shd w:val="clear" w:color="auto" w:fill="auto"/>
            <w:noWrap/>
            <w:vAlign w:val="center"/>
            <w:hideMark/>
          </w:tcPr>
          <w:p w14:paraId="524F3002"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0.042 </w:t>
            </w:r>
          </w:p>
        </w:tc>
        <w:tc>
          <w:tcPr>
            <w:tcW w:w="1718" w:type="dxa"/>
            <w:tcBorders>
              <w:top w:val="nil"/>
              <w:left w:val="nil"/>
              <w:bottom w:val="single" w:sz="8" w:space="0" w:color="auto"/>
              <w:right w:val="single" w:sz="8" w:space="0" w:color="auto"/>
            </w:tcBorders>
            <w:shd w:val="clear" w:color="auto" w:fill="auto"/>
            <w:noWrap/>
            <w:vAlign w:val="center"/>
            <w:hideMark/>
          </w:tcPr>
          <w:p w14:paraId="42F1AADF"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-0.001 </w:t>
            </w:r>
          </w:p>
        </w:tc>
      </w:tr>
      <w:tr w:rsidR="006E5B54" w14:paraId="100CF644" w14:textId="77777777" w:rsidTr="0072077C">
        <w:trPr>
          <w:trHeight w:val="3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2965EA18"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Energy/fuel cost increases</w:t>
            </w:r>
          </w:p>
        </w:tc>
        <w:tc>
          <w:tcPr>
            <w:tcW w:w="1718" w:type="dxa"/>
            <w:tcBorders>
              <w:top w:val="nil"/>
              <w:left w:val="nil"/>
              <w:bottom w:val="single" w:sz="8" w:space="0" w:color="auto"/>
              <w:right w:val="single" w:sz="8" w:space="0" w:color="auto"/>
            </w:tcBorders>
            <w:shd w:val="clear" w:color="auto" w:fill="auto"/>
            <w:noWrap/>
            <w:vAlign w:val="center"/>
            <w:hideMark/>
          </w:tcPr>
          <w:p w14:paraId="45D25B62"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   </w:t>
            </w:r>
          </w:p>
        </w:tc>
        <w:tc>
          <w:tcPr>
            <w:tcW w:w="1718" w:type="dxa"/>
            <w:tcBorders>
              <w:top w:val="nil"/>
              <w:left w:val="nil"/>
              <w:bottom w:val="single" w:sz="8" w:space="0" w:color="auto"/>
              <w:right w:val="single" w:sz="8" w:space="0" w:color="auto"/>
            </w:tcBorders>
            <w:shd w:val="clear" w:color="auto" w:fill="auto"/>
            <w:noWrap/>
            <w:vAlign w:val="center"/>
            <w:hideMark/>
          </w:tcPr>
          <w:p w14:paraId="32088F13"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-3.820 </w:t>
            </w:r>
          </w:p>
        </w:tc>
        <w:tc>
          <w:tcPr>
            <w:tcW w:w="1718" w:type="dxa"/>
            <w:tcBorders>
              <w:top w:val="nil"/>
              <w:left w:val="nil"/>
              <w:bottom w:val="single" w:sz="8" w:space="0" w:color="auto"/>
              <w:right w:val="single" w:sz="8" w:space="0" w:color="auto"/>
            </w:tcBorders>
            <w:shd w:val="clear" w:color="auto" w:fill="auto"/>
            <w:noWrap/>
            <w:vAlign w:val="center"/>
            <w:hideMark/>
          </w:tcPr>
          <w:p w14:paraId="0D65A8E4"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-3.820 </w:t>
            </w:r>
          </w:p>
        </w:tc>
      </w:tr>
      <w:tr w:rsidR="006E5B54" w14:paraId="46881E4A" w14:textId="77777777" w:rsidTr="0072077C">
        <w:trPr>
          <w:trHeight w:val="3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5C505476"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Business Rates Appeals</w:t>
            </w:r>
          </w:p>
        </w:tc>
        <w:tc>
          <w:tcPr>
            <w:tcW w:w="1718" w:type="dxa"/>
            <w:tcBorders>
              <w:top w:val="nil"/>
              <w:left w:val="nil"/>
              <w:bottom w:val="single" w:sz="8" w:space="0" w:color="auto"/>
              <w:right w:val="single" w:sz="8" w:space="0" w:color="auto"/>
            </w:tcBorders>
            <w:shd w:val="clear" w:color="auto" w:fill="auto"/>
            <w:noWrap/>
            <w:vAlign w:val="center"/>
            <w:hideMark/>
          </w:tcPr>
          <w:p w14:paraId="10C510D5"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-9.749 </w:t>
            </w:r>
          </w:p>
        </w:tc>
        <w:tc>
          <w:tcPr>
            <w:tcW w:w="1718" w:type="dxa"/>
            <w:tcBorders>
              <w:top w:val="nil"/>
              <w:left w:val="nil"/>
              <w:bottom w:val="single" w:sz="8" w:space="0" w:color="auto"/>
              <w:right w:val="single" w:sz="8" w:space="0" w:color="auto"/>
            </w:tcBorders>
            <w:shd w:val="clear" w:color="auto" w:fill="auto"/>
            <w:noWrap/>
            <w:vAlign w:val="center"/>
            <w:hideMark/>
          </w:tcPr>
          <w:p w14:paraId="7323664F"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3.703 </w:t>
            </w:r>
          </w:p>
        </w:tc>
        <w:tc>
          <w:tcPr>
            <w:tcW w:w="1718" w:type="dxa"/>
            <w:tcBorders>
              <w:top w:val="nil"/>
              <w:left w:val="nil"/>
              <w:bottom w:val="single" w:sz="8" w:space="0" w:color="auto"/>
              <w:right w:val="single" w:sz="8" w:space="0" w:color="auto"/>
            </w:tcBorders>
            <w:shd w:val="clear" w:color="auto" w:fill="auto"/>
            <w:noWrap/>
            <w:vAlign w:val="center"/>
            <w:hideMark/>
          </w:tcPr>
          <w:p w14:paraId="3018E7FA"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-6.046 </w:t>
            </w:r>
          </w:p>
        </w:tc>
      </w:tr>
      <w:tr w:rsidR="006E5B54" w14:paraId="3CD94307" w14:textId="77777777" w:rsidTr="0072077C">
        <w:trPr>
          <w:trHeight w:val="3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6EFEC6C2"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lastRenderedPageBreak/>
              <w:t>Municipal Mutual Insurance (MMI) Provision</w:t>
            </w:r>
          </w:p>
        </w:tc>
        <w:tc>
          <w:tcPr>
            <w:tcW w:w="1718" w:type="dxa"/>
            <w:tcBorders>
              <w:top w:val="nil"/>
              <w:left w:val="nil"/>
              <w:bottom w:val="single" w:sz="8" w:space="0" w:color="auto"/>
              <w:right w:val="single" w:sz="8" w:space="0" w:color="auto"/>
            </w:tcBorders>
            <w:shd w:val="clear" w:color="auto" w:fill="auto"/>
            <w:noWrap/>
            <w:vAlign w:val="center"/>
            <w:hideMark/>
          </w:tcPr>
          <w:p w14:paraId="3F1C046D"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-2.749 </w:t>
            </w:r>
          </w:p>
        </w:tc>
        <w:tc>
          <w:tcPr>
            <w:tcW w:w="1718" w:type="dxa"/>
            <w:tcBorders>
              <w:top w:val="nil"/>
              <w:left w:val="nil"/>
              <w:bottom w:val="single" w:sz="8" w:space="0" w:color="auto"/>
              <w:right w:val="single" w:sz="8" w:space="0" w:color="auto"/>
            </w:tcBorders>
            <w:shd w:val="clear" w:color="auto" w:fill="auto"/>
            <w:noWrap/>
            <w:vAlign w:val="center"/>
            <w:hideMark/>
          </w:tcPr>
          <w:p w14:paraId="30E29E7E"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   </w:t>
            </w:r>
          </w:p>
        </w:tc>
        <w:tc>
          <w:tcPr>
            <w:tcW w:w="1718" w:type="dxa"/>
            <w:tcBorders>
              <w:top w:val="nil"/>
              <w:left w:val="nil"/>
              <w:bottom w:val="single" w:sz="8" w:space="0" w:color="auto"/>
              <w:right w:val="single" w:sz="8" w:space="0" w:color="auto"/>
            </w:tcBorders>
            <w:shd w:val="clear" w:color="auto" w:fill="auto"/>
            <w:noWrap/>
            <w:vAlign w:val="center"/>
            <w:hideMark/>
          </w:tcPr>
          <w:p w14:paraId="00E719E6"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-2.749 </w:t>
            </w:r>
          </w:p>
        </w:tc>
      </w:tr>
      <w:tr w:rsidR="006E5B54" w14:paraId="7015539F" w14:textId="77777777" w:rsidTr="0072077C">
        <w:trPr>
          <w:trHeight w:val="3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5ED3F67"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Insurance Provision</w:t>
            </w:r>
          </w:p>
        </w:tc>
        <w:tc>
          <w:tcPr>
            <w:tcW w:w="1718" w:type="dxa"/>
            <w:tcBorders>
              <w:top w:val="nil"/>
              <w:left w:val="nil"/>
              <w:bottom w:val="single" w:sz="8" w:space="0" w:color="auto"/>
              <w:right w:val="single" w:sz="8" w:space="0" w:color="auto"/>
            </w:tcBorders>
            <w:shd w:val="clear" w:color="auto" w:fill="auto"/>
            <w:noWrap/>
            <w:vAlign w:val="center"/>
            <w:hideMark/>
          </w:tcPr>
          <w:p w14:paraId="29A6523F"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-22.915 </w:t>
            </w:r>
          </w:p>
        </w:tc>
        <w:tc>
          <w:tcPr>
            <w:tcW w:w="1718" w:type="dxa"/>
            <w:tcBorders>
              <w:top w:val="nil"/>
              <w:left w:val="nil"/>
              <w:bottom w:val="single" w:sz="8" w:space="0" w:color="auto"/>
              <w:right w:val="single" w:sz="8" w:space="0" w:color="auto"/>
            </w:tcBorders>
            <w:shd w:val="clear" w:color="auto" w:fill="auto"/>
            <w:noWrap/>
            <w:vAlign w:val="center"/>
            <w:hideMark/>
          </w:tcPr>
          <w:p w14:paraId="6CAE103A"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-8.382 </w:t>
            </w:r>
          </w:p>
        </w:tc>
        <w:tc>
          <w:tcPr>
            <w:tcW w:w="1718" w:type="dxa"/>
            <w:tcBorders>
              <w:top w:val="nil"/>
              <w:left w:val="nil"/>
              <w:bottom w:val="single" w:sz="8" w:space="0" w:color="auto"/>
              <w:right w:val="single" w:sz="8" w:space="0" w:color="auto"/>
            </w:tcBorders>
            <w:shd w:val="clear" w:color="auto" w:fill="auto"/>
            <w:noWrap/>
            <w:vAlign w:val="center"/>
            <w:hideMark/>
          </w:tcPr>
          <w:p w14:paraId="6CB17D00"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-31.297 </w:t>
            </w:r>
          </w:p>
        </w:tc>
      </w:tr>
      <w:tr w:rsidR="006E5B54" w14:paraId="14F0D68E" w14:textId="77777777" w:rsidTr="0072077C">
        <w:trPr>
          <w:trHeight w:val="3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D35E6E1"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Highways Provision</w:t>
            </w:r>
          </w:p>
        </w:tc>
        <w:tc>
          <w:tcPr>
            <w:tcW w:w="1718" w:type="dxa"/>
            <w:tcBorders>
              <w:top w:val="nil"/>
              <w:left w:val="nil"/>
              <w:bottom w:val="single" w:sz="8" w:space="0" w:color="auto"/>
              <w:right w:val="single" w:sz="8" w:space="0" w:color="auto"/>
            </w:tcBorders>
            <w:shd w:val="clear" w:color="auto" w:fill="auto"/>
            <w:noWrap/>
            <w:vAlign w:val="center"/>
            <w:hideMark/>
          </w:tcPr>
          <w:p w14:paraId="17E74A24"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-0.200 </w:t>
            </w:r>
          </w:p>
        </w:tc>
        <w:tc>
          <w:tcPr>
            <w:tcW w:w="1718" w:type="dxa"/>
            <w:tcBorders>
              <w:top w:val="nil"/>
              <w:left w:val="nil"/>
              <w:bottom w:val="single" w:sz="8" w:space="0" w:color="auto"/>
              <w:right w:val="single" w:sz="8" w:space="0" w:color="auto"/>
            </w:tcBorders>
            <w:shd w:val="clear" w:color="auto" w:fill="auto"/>
            <w:noWrap/>
            <w:vAlign w:val="center"/>
            <w:hideMark/>
          </w:tcPr>
          <w:p w14:paraId="1F13F90F"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-0.100 </w:t>
            </w:r>
          </w:p>
        </w:tc>
        <w:tc>
          <w:tcPr>
            <w:tcW w:w="1718" w:type="dxa"/>
            <w:tcBorders>
              <w:top w:val="nil"/>
              <w:left w:val="nil"/>
              <w:bottom w:val="single" w:sz="8" w:space="0" w:color="auto"/>
              <w:right w:val="single" w:sz="8" w:space="0" w:color="auto"/>
            </w:tcBorders>
            <w:shd w:val="clear" w:color="auto" w:fill="auto"/>
            <w:noWrap/>
            <w:vAlign w:val="center"/>
            <w:hideMark/>
          </w:tcPr>
          <w:p w14:paraId="5C466DD8"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-0.300 </w:t>
            </w:r>
          </w:p>
        </w:tc>
      </w:tr>
      <w:tr w:rsidR="006E5B54" w14:paraId="26F5545B" w14:textId="77777777" w:rsidTr="0072077C">
        <w:trPr>
          <w:trHeight w:val="3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7663CC51"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Facilities Management Provision</w:t>
            </w:r>
          </w:p>
        </w:tc>
        <w:tc>
          <w:tcPr>
            <w:tcW w:w="1718" w:type="dxa"/>
            <w:tcBorders>
              <w:top w:val="nil"/>
              <w:left w:val="nil"/>
              <w:bottom w:val="single" w:sz="8" w:space="0" w:color="auto"/>
              <w:right w:val="single" w:sz="8" w:space="0" w:color="auto"/>
            </w:tcBorders>
            <w:shd w:val="clear" w:color="auto" w:fill="auto"/>
            <w:noWrap/>
            <w:vAlign w:val="center"/>
            <w:hideMark/>
          </w:tcPr>
          <w:p w14:paraId="6DA22B3F"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-0.499 </w:t>
            </w:r>
          </w:p>
        </w:tc>
        <w:tc>
          <w:tcPr>
            <w:tcW w:w="1718" w:type="dxa"/>
            <w:tcBorders>
              <w:top w:val="nil"/>
              <w:left w:val="nil"/>
              <w:bottom w:val="single" w:sz="8" w:space="0" w:color="auto"/>
              <w:right w:val="single" w:sz="8" w:space="0" w:color="auto"/>
            </w:tcBorders>
            <w:shd w:val="clear" w:color="auto" w:fill="auto"/>
            <w:noWrap/>
            <w:vAlign w:val="center"/>
            <w:hideMark/>
          </w:tcPr>
          <w:p w14:paraId="0161F86A"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0.029 </w:t>
            </w:r>
          </w:p>
        </w:tc>
        <w:tc>
          <w:tcPr>
            <w:tcW w:w="1718" w:type="dxa"/>
            <w:tcBorders>
              <w:top w:val="nil"/>
              <w:left w:val="nil"/>
              <w:bottom w:val="single" w:sz="8" w:space="0" w:color="auto"/>
              <w:right w:val="single" w:sz="8" w:space="0" w:color="auto"/>
            </w:tcBorders>
            <w:shd w:val="clear" w:color="auto" w:fill="auto"/>
            <w:noWrap/>
            <w:vAlign w:val="center"/>
            <w:hideMark/>
          </w:tcPr>
          <w:p w14:paraId="2683BCF9"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-0.470 </w:t>
            </w:r>
          </w:p>
        </w:tc>
      </w:tr>
      <w:tr w:rsidR="006E5B54" w14:paraId="41A077D3" w14:textId="77777777" w:rsidTr="0072077C">
        <w:trPr>
          <w:trHeight w:val="343"/>
        </w:trPr>
        <w:tc>
          <w:tcPr>
            <w:tcW w:w="3676" w:type="dxa"/>
            <w:tcBorders>
              <w:top w:val="nil"/>
              <w:left w:val="single" w:sz="8" w:space="0" w:color="auto"/>
              <w:bottom w:val="single" w:sz="8" w:space="0" w:color="auto"/>
              <w:right w:val="single" w:sz="8" w:space="0" w:color="auto"/>
            </w:tcBorders>
            <w:shd w:val="clear" w:color="auto" w:fill="auto"/>
            <w:vAlign w:val="center"/>
            <w:hideMark/>
          </w:tcPr>
          <w:p w14:paraId="2CB1F95E" w14:textId="77777777" w:rsidR="005A102F" w:rsidRPr="00C11EA9" w:rsidRDefault="00162F2E" w:rsidP="0072077C">
            <w:pPr>
              <w:spacing w:after="0"/>
              <w:rPr>
                <w:rFonts w:eastAsia="Times New Roman" w:cs="Arial"/>
                <w:sz w:val="20"/>
                <w:szCs w:val="20"/>
                <w:lang w:eastAsia="en-GB"/>
              </w:rPr>
            </w:pPr>
            <w:r w:rsidRPr="00C11EA9">
              <w:rPr>
                <w:rFonts w:eastAsia="Times New Roman" w:cs="Arial"/>
                <w:sz w:val="20"/>
                <w:szCs w:val="20"/>
                <w:lang w:eastAsia="en-GB"/>
              </w:rPr>
              <w:t>PFI Payments</w:t>
            </w:r>
          </w:p>
        </w:tc>
        <w:tc>
          <w:tcPr>
            <w:tcW w:w="1718" w:type="dxa"/>
            <w:tcBorders>
              <w:top w:val="nil"/>
              <w:left w:val="nil"/>
              <w:bottom w:val="single" w:sz="8" w:space="0" w:color="auto"/>
              <w:right w:val="single" w:sz="8" w:space="0" w:color="auto"/>
            </w:tcBorders>
            <w:shd w:val="clear" w:color="auto" w:fill="auto"/>
            <w:noWrap/>
            <w:vAlign w:val="center"/>
            <w:hideMark/>
          </w:tcPr>
          <w:p w14:paraId="42B86639"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-1.095 </w:t>
            </w:r>
          </w:p>
        </w:tc>
        <w:tc>
          <w:tcPr>
            <w:tcW w:w="1718" w:type="dxa"/>
            <w:tcBorders>
              <w:top w:val="nil"/>
              <w:left w:val="nil"/>
              <w:bottom w:val="single" w:sz="8" w:space="0" w:color="auto"/>
              <w:right w:val="single" w:sz="8" w:space="0" w:color="auto"/>
            </w:tcBorders>
            <w:shd w:val="clear" w:color="auto" w:fill="auto"/>
            <w:noWrap/>
            <w:vAlign w:val="center"/>
            <w:hideMark/>
          </w:tcPr>
          <w:p w14:paraId="37367D73"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-0.500 </w:t>
            </w:r>
          </w:p>
        </w:tc>
        <w:tc>
          <w:tcPr>
            <w:tcW w:w="1718" w:type="dxa"/>
            <w:tcBorders>
              <w:top w:val="nil"/>
              <w:left w:val="nil"/>
              <w:bottom w:val="single" w:sz="8" w:space="0" w:color="auto"/>
              <w:right w:val="single" w:sz="8" w:space="0" w:color="auto"/>
            </w:tcBorders>
            <w:shd w:val="clear" w:color="auto" w:fill="auto"/>
            <w:noWrap/>
            <w:vAlign w:val="center"/>
            <w:hideMark/>
          </w:tcPr>
          <w:p w14:paraId="407773C1" w14:textId="77777777" w:rsidR="005A102F" w:rsidRPr="00C11EA9" w:rsidRDefault="00162F2E" w:rsidP="0072077C">
            <w:pPr>
              <w:spacing w:after="0"/>
              <w:jc w:val="right"/>
              <w:rPr>
                <w:rFonts w:eastAsia="Times New Roman" w:cs="Arial"/>
                <w:sz w:val="20"/>
                <w:szCs w:val="20"/>
                <w:lang w:eastAsia="en-GB"/>
              </w:rPr>
            </w:pPr>
            <w:r w:rsidRPr="00C11EA9">
              <w:rPr>
                <w:rFonts w:eastAsia="Times New Roman" w:cs="Arial"/>
                <w:sz w:val="20"/>
                <w:szCs w:val="20"/>
                <w:lang w:eastAsia="en-GB"/>
              </w:rPr>
              <w:t xml:space="preserve">-1.595 </w:t>
            </w:r>
          </w:p>
        </w:tc>
      </w:tr>
      <w:tr w:rsidR="006E5B54" w14:paraId="07B3EF48" w14:textId="77777777" w:rsidTr="00C11EA9">
        <w:trPr>
          <w:trHeight w:val="356"/>
        </w:trPr>
        <w:tc>
          <w:tcPr>
            <w:tcW w:w="3676"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421A2C8" w14:textId="77777777" w:rsidR="005A102F" w:rsidRPr="00C11EA9" w:rsidRDefault="00162F2E" w:rsidP="0072077C">
            <w:pPr>
              <w:spacing w:after="0"/>
              <w:rPr>
                <w:rFonts w:eastAsia="Times New Roman" w:cs="Arial"/>
                <w:b/>
                <w:bCs/>
                <w:sz w:val="20"/>
                <w:szCs w:val="20"/>
                <w:lang w:eastAsia="en-GB"/>
              </w:rPr>
            </w:pPr>
            <w:r w:rsidRPr="00C11EA9">
              <w:rPr>
                <w:rFonts w:eastAsia="Times New Roman" w:cs="Arial"/>
                <w:b/>
                <w:bCs/>
                <w:sz w:val="20"/>
                <w:szCs w:val="20"/>
                <w:lang w:eastAsia="en-GB"/>
              </w:rPr>
              <w:t>Grand Total</w:t>
            </w:r>
          </w:p>
        </w:tc>
        <w:tc>
          <w:tcPr>
            <w:tcW w:w="1718" w:type="dxa"/>
            <w:tcBorders>
              <w:top w:val="nil"/>
              <w:left w:val="nil"/>
              <w:bottom w:val="single" w:sz="8" w:space="0" w:color="auto"/>
              <w:right w:val="single" w:sz="8" w:space="0" w:color="auto"/>
            </w:tcBorders>
            <w:shd w:val="clear" w:color="auto" w:fill="BFBFBF" w:themeFill="background1" w:themeFillShade="BF"/>
            <w:noWrap/>
            <w:vAlign w:val="center"/>
            <w:hideMark/>
          </w:tcPr>
          <w:p w14:paraId="596EB749" w14:textId="77777777" w:rsidR="005A102F" w:rsidRPr="00C11EA9" w:rsidRDefault="00162F2E" w:rsidP="0072077C">
            <w:pPr>
              <w:spacing w:after="0"/>
              <w:jc w:val="right"/>
              <w:rPr>
                <w:rFonts w:eastAsia="Times New Roman" w:cs="Arial"/>
                <w:b/>
                <w:bCs/>
                <w:sz w:val="20"/>
                <w:szCs w:val="20"/>
                <w:lang w:eastAsia="en-GB"/>
              </w:rPr>
            </w:pPr>
            <w:r w:rsidRPr="00C11EA9">
              <w:rPr>
                <w:rFonts w:eastAsia="Times New Roman" w:cs="Arial"/>
                <w:b/>
                <w:bCs/>
                <w:sz w:val="20"/>
                <w:szCs w:val="20"/>
                <w:lang w:eastAsia="en-GB"/>
              </w:rPr>
              <w:t xml:space="preserve">-40.072 </w:t>
            </w:r>
          </w:p>
        </w:tc>
        <w:tc>
          <w:tcPr>
            <w:tcW w:w="1718" w:type="dxa"/>
            <w:tcBorders>
              <w:top w:val="nil"/>
              <w:left w:val="nil"/>
              <w:bottom w:val="single" w:sz="8" w:space="0" w:color="auto"/>
              <w:right w:val="single" w:sz="8" w:space="0" w:color="auto"/>
            </w:tcBorders>
            <w:shd w:val="clear" w:color="auto" w:fill="BFBFBF" w:themeFill="background1" w:themeFillShade="BF"/>
            <w:noWrap/>
            <w:vAlign w:val="center"/>
            <w:hideMark/>
          </w:tcPr>
          <w:p w14:paraId="077A4330" w14:textId="77777777" w:rsidR="005A102F" w:rsidRPr="00C11EA9" w:rsidRDefault="00162F2E" w:rsidP="0072077C">
            <w:pPr>
              <w:spacing w:after="0"/>
              <w:jc w:val="right"/>
              <w:rPr>
                <w:rFonts w:eastAsia="Times New Roman" w:cs="Arial"/>
                <w:b/>
                <w:bCs/>
                <w:sz w:val="20"/>
                <w:szCs w:val="20"/>
                <w:lang w:eastAsia="en-GB"/>
              </w:rPr>
            </w:pPr>
            <w:r w:rsidRPr="00C11EA9">
              <w:rPr>
                <w:rFonts w:eastAsia="Times New Roman" w:cs="Arial"/>
                <w:b/>
                <w:bCs/>
                <w:sz w:val="20"/>
                <w:szCs w:val="20"/>
                <w:lang w:eastAsia="en-GB"/>
              </w:rPr>
              <w:t xml:space="preserve">-10.746 </w:t>
            </w:r>
          </w:p>
        </w:tc>
        <w:tc>
          <w:tcPr>
            <w:tcW w:w="1718" w:type="dxa"/>
            <w:tcBorders>
              <w:top w:val="nil"/>
              <w:left w:val="nil"/>
              <w:bottom w:val="single" w:sz="8" w:space="0" w:color="auto"/>
              <w:right w:val="single" w:sz="8" w:space="0" w:color="auto"/>
            </w:tcBorders>
            <w:shd w:val="clear" w:color="auto" w:fill="BFBFBF" w:themeFill="background1" w:themeFillShade="BF"/>
            <w:noWrap/>
            <w:vAlign w:val="center"/>
            <w:hideMark/>
          </w:tcPr>
          <w:p w14:paraId="78704FD7" w14:textId="77777777" w:rsidR="005A102F" w:rsidRPr="00C11EA9" w:rsidRDefault="00162F2E" w:rsidP="0072077C">
            <w:pPr>
              <w:spacing w:after="0"/>
              <w:jc w:val="right"/>
              <w:rPr>
                <w:rFonts w:eastAsia="Times New Roman" w:cs="Arial"/>
                <w:b/>
                <w:bCs/>
                <w:sz w:val="20"/>
                <w:szCs w:val="20"/>
                <w:lang w:eastAsia="en-GB"/>
              </w:rPr>
            </w:pPr>
            <w:r w:rsidRPr="00C11EA9">
              <w:rPr>
                <w:rFonts w:eastAsia="Times New Roman" w:cs="Arial"/>
                <w:b/>
                <w:bCs/>
                <w:sz w:val="20"/>
                <w:szCs w:val="20"/>
                <w:lang w:eastAsia="en-GB"/>
              </w:rPr>
              <w:t xml:space="preserve">-50.818 </w:t>
            </w:r>
          </w:p>
        </w:tc>
      </w:tr>
    </w:tbl>
    <w:p w14:paraId="1CEF6085" w14:textId="77777777" w:rsidR="00D10794" w:rsidRPr="00812801" w:rsidRDefault="00D10794" w:rsidP="00D10794">
      <w:pPr>
        <w:rPr>
          <w:highlight w:val="yellow"/>
        </w:rPr>
      </w:pPr>
    </w:p>
    <w:p w14:paraId="26568D1C" w14:textId="77777777" w:rsidR="00D10794" w:rsidRPr="00347F81" w:rsidRDefault="00162F2E" w:rsidP="00D10794">
      <w:pPr>
        <w:autoSpaceDE/>
        <w:autoSpaceDN/>
        <w:adjustRightInd/>
        <w:spacing w:after="0"/>
        <w:rPr>
          <w:b/>
        </w:rPr>
      </w:pPr>
      <w:r w:rsidRPr="002D194F">
        <w:t>The table above contains both long</w:t>
      </w:r>
      <w:r w:rsidR="005631B5" w:rsidRPr="002D194F">
        <w:t>-</w:t>
      </w:r>
      <w:r w:rsidRPr="002D194F">
        <w:t xml:space="preserve"> and short</w:t>
      </w:r>
      <w:r w:rsidR="005631B5" w:rsidRPr="002D194F">
        <w:t>-</w:t>
      </w:r>
      <w:r w:rsidRPr="002D194F">
        <w:t xml:space="preserve">term provisions held at the end of the </w:t>
      </w:r>
      <w:r w:rsidR="004F05D5" w:rsidRPr="002D194F">
        <w:t>202</w:t>
      </w:r>
      <w:r w:rsidR="00FC79FC">
        <w:t>2</w:t>
      </w:r>
      <w:r w:rsidR="004F05D5" w:rsidRPr="002D194F">
        <w:t>/2</w:t>
      </w:r>
      <w:r w:rsidR="00FC79FC">
        <w:t>3</w:t>
      </w:r>
      <w:r w:rsidRPr="002D194F">
        <w:t xml:space="preserve"> financial year</w:t>
      </w:r>
      <w:r w:rsidRPr="00347F81">
        <w:t>. A review of all provisions has been undertaken with several removed as they are no longer required. In addition, where new provisions are required</w:t>
      </w:r>
      <w:r w:rsidR="005631B5" w:rsidRPr="00347F81">
        <w:t>,</w:t>
      </w:r>
      <w:r w:rsidRPr="00347F81">
        <w:t xml:space="preserve"> or increases were needed to existing provisions then the required action has been taken. </w:t>
      </w:r>
      <w:r w:rsidRPr="00347F81">
        <w:rPr>
          <w:b/>
        </w:rPr>
        <w:br w:type="page"/>
      </w:r>
    </w:p>
    <w:p w14:paraId="617026E3" w14:textId="77777777" w:rsidR="00D10794" w:rsidRPr="002D194F" w:rsidRDefault="00162F2E" w:rsidP="00D10794">
      <w:pPr>
        <w:autoSpaceDE/>
        <w:autoSpaceDN/>
        <w:adjustRightInd/>
        <w:spacing w:after="0"/>
        <w:jc w:val="left"/>
        <w:rPr>
          <w:rFonts w:cs="Arial"/>
          <w:b/>
          <w:lang w:eastAsia="en-GB"/>
        </w:rPr>
      </w:pPr>
      <w:r w:rsidRPr="002D194F">
        <w:rPr>
          <w:rFonts w:cs="Arial"/>
          <w:b/>
          <w:lang w:eastAsia="en-GB"/>
        </w:rPr>
        <w:lastRenderedPageBreak/>
        <w:t>Section E – Conclusion on the County Council's Financial Health</w:t>
      </w:r>
    </w:p>
    <w:p w14:paraId="2690C9C1" w14:textId="77777777" w:rsidR="00D10794" w:rsidRPr="00812801" w:rsidRDefault="00D10794" w:rsidP="00D10794">
      <w:pPr>
        <w:spacing w:after="0"/>
        <w:rPr>
          <w:rFonts w:cs="Arial"/>
          <w:highlight w:val="yellow"/>
        </w:rPr>
      </w:pPr>
    </w:p>
    <w:p w14:paraId="1B98AB2F" w14:textId="77777777" w:rsidR="00D10794" w:rsidRPr="007447AD" w:rsidRDefault="00162F2E" w:rsidP="00D10794">
      <w:pPr>
        <w:spacing w:after="0"/>
        <w:rPr>
          <w:rFonts w:cs="Arial"/>
        </w:rPr>
      </w:pPr>
      <w:r w:rsidRPr="002D194F">
        <w:rPr>
          <w:rFonts w:cs="Arial"/>
        </w:rPr>
        <w:t xml:space="preserve">Whilst the revenue outturn position for </w:t>
      </w:r>
      <w:r w:rsidR="004F05D5" w:rsidRPr="002D194F">
        <w:rPr>
          <w:rFonts w:cs="Arial"/>
        </w:rPr>
        <w:t>2021/22</w:t>
      </w:r>
      <w:r w:rsidRPr="002D194F">
        <w:rPr>
          <w:rFonts w:cs="Arial"/>
        </w:rPr>
        <w:t xml:space="preserve"> presented within the report is positive in headline terms, as an underspend has been achieved and a contribution to reserves in-year rather than the need to support a structural funding gap it must be recognised that </w:t>
      </w:r>
      <w:r w:rsidR="004F05D5" w:rsidRPr="002D194F">
        <w:rPr>
          <w:rFonts w:cs="Arial"/>
        </w:rPr>
        <w:t>2021/22</w:t>
      </w:r>
      <w:r w:rsidRPr="002D194F">
        <w:rPr>
          <w:rFonts w:cs="Arial"/>
        </w:rPr>
        <w:t xml:space="preserve"> has been a</w:t>
      </w:r>
      <w:r w:rsidR="002F3D47">
        <w:rPr>
          <w:rFonts w:cs="Arial"/>
        </w:rPr>
        <w:t>nother</w:t>
      </w:r>
      <w:r w:rsidRPr="002D194F">
        <w:rPr>
          <w:rFonts w:cs="Arial"/>
        </w:rPr>
        <w:t xml:space="preserve"> highly unusual year due to the pandemic. There have been multiple grants provided by the government to support costs incurred by local authorities, which includes delayed delivery of savings</w:t>
      </w:r>
      <w:r w:rsidR="002F3D47">
        <w:rPr>
          <w:rFonts w:cs="Arial"/>
        </w:rPr>
        <w:t>. It is anticipated that there will be no further government grants for the pandemic awarded</w:t>
      </w:r>
      <w:r w:rsidR="007447AD" w:rsidRPr="007447AD">
        <w:rPr>
          <w:rFonts w:cs="Arial"/>
        </w:rPr>
        <w:t xml:space="preserve">. </w:t>
      </w:r>
      <w:r w:rsidRPr="007447AD">
        <w:rPr>
          <w:rFonts w:cs="Arial"/>
        </w:rPr>
        <w:t>The County Council is forecast to have a financial gap of £</w:t>
      </w:r>
      <w:r w:rsidR="00F52983">
        <w:rPr>
          <w:rFonts w:cs="Arial"/>
        </w:rPr>
        <w:t>41.</w:t>
      </w:r>
      <w:r w:rsidR="00F234C1">
        <w:rPr>
          <w:rFonts w:cs="Arial"/>
        </w:rPr>
        <w:t>439</w:t>
      </w:r>
      <w:r w:rsidRPr="007447AD">
        <w:rPr>
          <w:rFonts w:cs="Arial"/>
        </w:rPr>
        <w:t>m by 202</w:t>
      </w:r>
      <w:r w:rsidR="007447AD" w:rsidRPr="007447AD">
        <w:rPr>
          <w:rFonts w:cs="Arial"/>
        </w:rPr>
        <w:t>4</w:t>
      </w:r>
      <w:r w:rsidRPr="007447AD">
        <w:rPr>
          <w:rFonts w:cs="Arial"/>
        </w:rPr>
        <w:t>/2</w:t>
      </w:r>
      <w:r w:rsidR="007447AD" w:rsidRPr="007447AD">
        <w:rPr>
          <w:rFonts w:cs="Arial"/>
        </w:rPr>
        <w:t>5</w:t>
      </w:r>
      <w:r w:rsidRPr="007447AD">
        <w:rPr>
          <w:rFonts w:cs="Arial"/>
        </w:rPr>
        <w:t xml:space="preserve">. </w:t>
      </w:r>
    </w:p>
    <w:p w14:paraId="4AEBFB25" w14:textId="77777777" w:rsidR="00D10794" w:rsidRPr="007447AD" w:rsidRDefault="00D10794" w:rsidP="00D10794">
      <w:pPr>
        <w:spacing w:after="0"/>
        <w:rPr>
          <w:rFonts w:cs="Arial"/>
        </w:rPr>
      </w:pPr>
    </w:p>
    <w:p w14:paraId="5A0EA8CF" w14:textId="77777777" w:rsidR="00D10794" w:rsidRPr="004B1040" w:rsidRDefault="00162F2E" w:rsidP="00D10794">
      <w:pPr>
        <w:spacing w:after="0"/>
        <w:rPr>
          <w:rFonts w:cs="Arial"/>
        </w:rPr>
      </w:pPr>
      <w:r w:rsidRPr="004B1040">
        <w:rPr>
          <w:rFonts w:cs="Arial"/>
        </w:rPr>
        <w:t>O</w:t>
      </w:r>
      <w:r w:rsidR="00557D0C" w:rsidRPr="004B1040">
        <w:rPr>
          <w:rFonts w:cs="Arial"/>
        </w:rPr>
        <w:t xml:space="preserve">ver the period </w:t>
      </w:r>
      <w:r w:rsidR="00C42640" w:rsidRPr="004B1040">
        <w:rPr>
          <w:rFonts w:cs="Arial"/>
        </w:rPr>
        <w:t>of the</w:t>
      </w:r>
      <w:r w:rsidRPr="004B1040">
        <w:rPr>
          <w:rFonts w:cs="Arial"/>
        </w:rPr>
        <w:t xml:space="preserve"> </w:t>
      </w:r>
      <w:r w:rsidR="00111D94">
        <w:rPr>
          <w:rFonts w:cs="Arial"/>
        </w:rPr>
        <w:t>medium-</w:t>
      </w:r>
      <w:r w:rsidRPr="004B1040">
        <w:rPr>
          <w:rFonts w:cs="Arial"/>
        </w:rPr>
        <w:t xml:space="preserve">term financial strategy </w:t>
      </w:r>
      <w:r w:rsidR="00557D0C" w:rsidRPr="004B1040">
        <w:rPr>
          <w:rFonts w:cs="Arial"/>
        </w:rPr>
        <w:t>there is a structural funding gap that will need to be addressed.  Currently there are sufficient reserves to support the forecast gap through to 202</w:t>
      </w:r>
      <w:r w:rsidRPr="004B1040">
        <w:rPr>
          <w:rFonts w:cs="Arial"/>
        </w:rPr>
        <w:t>4</w:t>
      </w:r>
      <w:r w:rsidR="00557D0C" w:rsidRPr="004B1040">
        <w:rPr>
          <w:rFonts w:cs="Arial"/>
        </w:rPr>
        <w:t>/2</w:t>
      </w:r>
      <w:r w:rsidRPr="004B1040">
        <w:rPr>
          <w:rFonts w:cs="Arial"/>
        </w:rPr>
        <w:t>5</w:t>
      </w:r>
      <w:r w:rsidR="00557D0C" w:rsidRPr="004B1040">
        <w:rPr>
          <w:rFonts w:cs="Arial"/>
        </w:rPr>
        <w:t xml:space="preserve"> and beyond but the intention is that further savings will be identified to reduce the requirement from reserves</w:t>
      </w:r>
      <w:r w:rsidRPr="004B1040">
        <w:rPr>
          <w:rFonts w:cs="Arial"/>
        </w:rPr>
        <w:t xml:space="preserve"> in 2023/24</w:t>
      </w:r>
      <w:r w:rsidR="00557D0C" w:rsidRPr="004B1040">
        <w:rPr>
          <w:rFonts w:cs="Arial"/>
        </w:rPr>
        <w:t xml:space="preserve">.  </w:t>
      </w:r>
    </w:p>
    <w:p w14:paraId="7F6EFC64" w14:textId="77777777" w:rsidR="00D10794" w:rsidRPr="00812801" w:rsidRDefault="00D10794" w:rsidP="00D10794">
      <w:pPr>
        <w:spacing w:after="0"/>
        <w:rPr>
          <w:rFonts w:cs="Arial"/>
          <w:highlight w:val="yellow"/>
        </w:rPr>
      </w:pPr>
    </w:p>
    <w:p w14:paraId="5FD57772" w14:textId="77777777" w:rsidR="00D10794" w:rsidRPr="009531A7" w:rsidRDefault="00162F2E" w:rsidP="00D10794">
      <w:pPr>
        <w:spacing w:after="0"/>
        <w:rPr>
          <w:rFonts w:cs="Arial"/>
        </w:rPr>
      </w:pPr>
      <w:r w:rsidRPr="006F12FD">
        <w:rPr>
          <w:rFonts w:cs="Arial"/>
        </w:rPr>
        <w:t>The forecast funding gap is predicated on the achievement of all agreed savings, and any undelivered or delayed savings will further increase the gap. In 202</w:t>
      </w:r>
      <w:r w:rsidR="006F12FD" w:rsidRPr="006F12FD">
        <w:rPr>
          <w:rFonts w:cs="Arial"/>
        </w:rPr>
        <w:t>2</w:t>
      </w:r>
      <w:r w:rsidRPr="006F12FD">
        <w:rPr>
          <w:rFonts w:cs="Arial"/>
        </w:rPr>
        <w:t>/2</w:t>
      </w:r>
      <w:r w:rsidR="006F12FD" w:rsidRPr="006F12FD">
        <w:rPr>
          <w:rFonts w:cs="Arial"/>
        </w:rPr>
        <w:t>3</w:t>
      </w:r>
      <w:r w:rsidRPr="006F12FD">
        <w:rPr>
          <w:rFonts w:cs="Arial"/>
        </w:rPr>
        <w:t xml:space="preserve"> services will need to deliver </w:t>
      </w:r>
      <w:r w:rsidRPr="00111D94">
        <w:rPr>
          <w:rFonts w:cs="Arial"/>
        </w:rPr>
        <w:t>£</w:t>
      </w:r>
      <w:r w:rsidR="0058320E">
        <w:rPr>
          <w:rFonts w:cs="Arial"/>
        </w:rPr>
        <w:t>2</w:t>
      </w:r>
      <w:r w:rsidR="00E77BE7">
        <w:rPr>
          <w:rFonts w:cs="Arial"/>
        </w:rPr>
        <w:t>9.</w:t>
      </w:r>
      <w:r w:rsidR="0058320E">
        <w:rPr>
          <w:rFonts w:cs="Arial"/>
        </w:rPr>
        <w:t>589</w:t>
      </w:r>
      <w:r w:rsidRPr="00111D94">
        <w:rPr>
          <w:rFonts w:cs="Arial"/>
        </w:rPr>
        <w:t xml:space="preserve">m </w:t>
      </w:r>
      <w:r w:rsidRPr="006F12FD">
        <w:rPr>
          <w:rFonts w:cs="Arial"/>
        </w:rPr>
        <w:t xml:space="preserve">of </w:t>
      </w:r>
      <w:r>
        <w:rPr>
          <w:rFonts w:cs="Arial"/>
        </w:rPr>
        <w:t xml:space="preserve">previously agreed </w:t>
      </w:r>
      <w:r w:rsidRPr="006F12FD">
        <w:rPr>
          <w:rFonts w:cs="Arial"/>
        </w:rPr>
        <w:t xml:space="preserve">savings to stay within their budget </w:t>
      </w:r>
      <w:r w:rsidR="00F6012B">
        <w:rPr>
          <w:rFonts w:cs="Arial"/>
        </w:rPr>
        <w:t xml:space="preserve">envelope </w:t>
      </w:r>
      <w:r w:rsidR="0058320E">
        <w:rPr>
          <w:rFonts w:cs="Arial"/>
        </w:rPr>
        <w:t>which includes</w:t>
      </w:r>
      <w:r w:rsidR="00F6012B">
        <w:rPr>
          <w:rFonts w:cs="Arial"/>
        </w:rPr>
        <w:t xml:space="preserve"> </w:t>
      </w:r>
      <w:r>
        <w:rPr>
          <w:rFonts w:cs="Arial"/>
        </w:rPr>
        <w:t xml:space="preserve">those delayed from previous years </w:t>
      </w:r>
      <w:r w:rsidR="00F6012B" w:rsidRPr="0CFBF26B">
        <w:rPr>
          <w:rFonts w:cs="Arial"/>
        </w:rPr>
        <w:t>.</w:t>
      </w:r>
      <w:r w:rsidRPr="006F12FD">
        <w:rPr>
          <w:rFonts w:cs="Arial"/>
        </w:rPr>
        <w:t xml:space="preserve"> These savings are a combination of efficiencies, demand management, income generation</w:t>
      </w:r>
      <w:r w:rsidR="00557D0C" w:rsidRPr="006F12FD">
        <w:rPr>
          <w:rFonts w:cs="Arial"/>
        </w:rPr>
        <w:t xml:space="preserve"> and a</w:t>
      </w:r>
      <w:r w:rsidRPr="006F12FD">
        <w:rPr>
          <w:rFonts w:cs="Arial"/>
        </w:rPr>
        <w:t xml:space="preserve"> reduction in some services</w:t>
      </w:r>
      <w:r w:rsidR="00557D0C" w:rsidRPr="006F12FD">
        <w:rPr>
          <w:rFonts w:cs="Arial"/>
        </w:rPr>
        <w:t xml:space="preserve">. </w:t>
      </w:r>
      <w:r w:rsidRPr="006F12FD">
        <w:rPr>
          <w:rFonts w:cs="Arial"/>
        </w:rPr>
        <w:t xml:space="preserve">Whilst the support available from reserves presents a positive position, there is a continued financial </w:t>
      </w:r>
      <w:r w:rsidRPr="009531A7">
        <w:rPr>
          <w:rFonts w:cs="Arial"/>
        </w:rPr>
        <w:t>risk</w:t>
      </w:r>
      <w:r w:rsidR="006F12FD" w:rsidRPr="009531A7">
        <w:rPr>
          <w:rFonts w:cs="Arial"/>
        </w:rPr>
        <w:t>.</w:t>
      </w:r>
    </w:p>
    <w:p w14:paraId="1B5438A4" w14:textId="77777777" w:rsidR="00D10794" w:rsidRPr="00812801" w:rsidRDefault="00D10794" w:rsidP="00D10794">
      <w:pPr>
        <w:spacing w:after="0"/>
        <w:rPr>
          <w:rFonts w:cs="Arial"/>
          <w:highlight w:val="yellow"/>
        </w:rPr>
      </w:pPr>
    </w:p>
    <w:p w14:paraId="090DB875" w14:textId="77777777" w:rsidR="00D10794" w:rsidRPr="002D194F" w:rsidRDefault="00162F2E" w:rsidP="00D10794">
      <w:pPr>
        <w:spacing w:after="0"/>
        <w:rPr>
          <w:rFonts w:cs="Arial"/>
        </w:rPr>
      </w:pPr>
      <w:r w:rsidRPr="002D194F">
        <w:rPr>
          <w:rFonts w:cs="Arial"/>
        </w:rPr>
        <w:t xml:space="preserve">The availability of reserves to support recent revenue budgets has been enabled by good financial stewardship. The council has a track record of delivering positive outturn positions in most years through strong financial management, including delivering the majority of savings that have been agreed in budget cycles.  </w:t>
      </w:r>
    </w:p>
    <w:p w14:paraId="6E6A21EA" w14:textId="77777777" w:rsidR="00D10794" w:rsidRPr="00812801" w:rsidRDefault="00D10794" w:rsidP="00D10794">
      <w:pPr>
        <w:spacing w:after="0"/>
        <w:rPr>
          <w:rFonts w:cs="Arial"/>
          <w:highlight w:val="yellow"/>
        </w:rPr>
      </w:pPr>
    </w:p>
    <w:p w14:paraId="78A3FDCC" w14:textId="77777777" w:rsidR="00D10794" w:rsidRPr="000F1C5A" w:rsidRDefault="00162F2E" w:rsidP="00D10794">
      <w:pPr>
        <w:spacing w:after="0"/>
        <w:rPr>
          <w:rFonts w:cs="Arial"/>
        </w:rPr>
      </w:pPr>
      <w:r w:rsidRPr="00BC4D73">
        <w:rPr>
          <w:rFonts w:cs="Arial"/>
        </w:rPr>
        <w:t xml:space="preserve">Positively this has continued in </w:t>
      </w:r>
      <w:r w:rsidR="004F05D5" w:rsidRPr="00BC4D73">
        <w:rPr>
          <w:rFonts w:cs="Arial"/>
        </w:rPr>
        <w:t>202</w:t>
      </w:r>
      <w:r w:rsidR="00BC4D73" w:rsidRPr="00BC4D73">
        <w:rPr>
          <w:rFonts w:cs="Arial"/>
        </w:rPr>
        <w:t>2</w:t>
      </w:r>
      <w:r w:rsidR="004F05D5" w:rsidRPr="00BC4D73">
        <w:rPr>
          <w:rFonts w:cs="Arial"/>
        </w:rPr>
        <w:t>/2</w:t>
      </w:r>
      <w:r w:rsidR="00BC4D73" w:rsidRPr="00BC4D73">
        <w:rPr>
          <w:rFonts w:cs="Arial"/>
        </w:rPr>
        <w:t>3</w:t>
      </w:r>
      <w:r w:rsidRPr="00BC4D73">
        <w:rPr>
          <w:rFonts w:cs="Arial"/>
        </w:rPr>
        <w:t xml:space="preserve"> with the revenue underspend resulting in a much lower net reduction in reserves than was originally budgeted for.  As part of the Money Matters</w:t>
      </w:r>
      <w:r w:rsidRPr="000F1C5A">
        <w:rPr>
          <w:rFonts w:cs="Arial"/>
        </w:rPr>
        <w:t xml:space="preserve"> report for quarter 1, detailed work will be undertaken to determine the extent to which any of the underspending areas represent structural underspends not yet </w:t>
      </w:r>
      <w:r w:rsidR="00557D0C" w:rsidRPr="000F1C5A">
        <w:rPr>
          <w:rFonts w:cs="Arial"/>
        </w:rPr>
        <w:t xml:space="preserve">fully </w:t>
      </w:r>
      <w:r w:rsidRPr="000F1C5A">
        <w:rPr>
          <w:rFonts w:cs="Arial"/>
        </w:rPr>
        <w:t xml:space="preserve">adjusted for within the MTFS for future years,. Similarly, overspending areas are also being reviewed to determine the extent that it is recurrent and not reflected in the MTFS, with an updated position to be reported to Cabinet </w:t>
      </w:r>
      <w:r w:rsidR="005B219B">
        <w:rPr>
          <w:rFonts w:cs="Arial"/>
        </w:rPr>
        <w:t>in the quarter 1 money matters update</w:t>
      </w:r>
      <w:r w:rsidRPr="000F1C5A">
        <w:rPr>
          <w:rFonts w:cs="Arial"/>
        </w:rPr>
        <w:t xml:space="preserve">. </w:t>
      </w:r>
    </w:p>
    <w:p w14:paraId="464C7B9D" w14:textId="77777777" w:rsidR="00D10794" w:rsidRPr="00812801" w:rsidRDefault="00D10794" w:rsidP="00D10794">
      <w:pPr>
        <w:spacing w:after="0"/>
        <w:rPr>
          <w:rFonts w:cs="Arial"/>
          <w:highlight w:val="yellow"/>
        </w:rPr>
      </w:pPr>
    </w:p>
    <w:p w14:paraId="7F2EFD4A" w14:textId="77777777" w:rsidR="00D10794" w:rsidRPr="006D758B" w:rsidRDefault="00162F2E" w:rsidP="00D10794">
      <w:pPr>
        <w:spacing w:after="0"/>
        <w:rPr>
          <w:rFonts w:cs="Arial"/>
        </w:rPr>
      </w:pPr>
      <w:r w:rsidRPr="006D758B">
        <w:rPr>
          <w:rFonts w:cs="Arial"/>
        </w:rPr>
        <w:t>The proportion of the council's revenue budget spent on key demand led areas continues to increase and remains a challenge as a result of the ageing population and increasing demand, despite the application of the adult social care precept.  The other significant area of demand is children's social care.</w:t>
      </w:r>
      <w:r w:rsidR="006D758B">
        <w:rPr>
          <w:rFonts w:cs="Arial"/>
        </w:rPr>
        <w:t xml:space="preserve"> There are also </w:t>
      </w:r>
      <w:r w:rsidR="005B219B">
        <w:rPr>
          <w:rFonts w:cs="Arial"/>
        </w:rPr>
        <w:t xml:space="preserve">signficant financial </w:t>
      </w:r>
      <w:r w:rsidR="006D758B">
        <w:rPr>
          <w:rFonts w:cs="Arial"/>
        </w:rPr>
        <w:t>risks associated with the current cost of living crisis</w:t>
      </w:r>
      <w:r w:rsidR="005B219B">
        <w:rPr>
          <w:rFonts w:cs="Arial"/>
        </w:rPr>
        <w:t xml:space="preserve">.  </w:t>
      </w:r>
    </w:p>
    <w:p w14:paraId="48B7F61F" w14:textId="77777777" w:rsidR="00D10794" w:rsidRPr="00812801" w:rsidRDefault="00D10794" w:rsidP="00D10794">
      <w:pPr>
        <w:spacing w:after="0"/>
        <w:rPr>
          <w:rFonts w:cs="Arial"/>
          <w:highlight w:val="yellow"/>
        </w:rPr>
      </w:pPr>
    </w:p>
    <w:p w14:paraId="5469CF03" w14:textId="77777777" w:rsidR="00D10794" w:rsidRPr="003710F2" w:rsidRDefault="00162F2E" w:rsidP="00D10794">
      <w:pPr>
        <w:spacing w:after="0"/>
        <w:rPr>
          <w:rFonts w:cs="Arial"/>
        </w:rPr>
      </w:pPr>
      <w:r w:rsidRPr="003710F2">
        <w:rPr>
          <w:rFonts w:cs="Arial"/>
        </w:rPr>
        <w:t xml:space="preserve">The remaining reserves are forecast to be sufficient to enable a balanced budget to be set until 2024/25, however it is critical that further proposals are developed to address the funding gap. </w:t>
      </w:r>
      <w:r w:rsidR="000C0378" w:rsidRPr="003710F2">
        <w:rPr>
          <w:rFonts w:cs="Arial"/>
        </w:rPr>
        <w:t xml:space="preserve">To address </w:t>
      </w:r>
      <w:r>
        <w:rPr>
          <w:rFonts w:cs="Arial"/>
        </w:rPr>
        <w:t xml:space="preserve">this work is underway to identify proposals for the 2023/24 budget.  </w:t>
      </w:r>
    </w:p>
    <w:p w14:paraId="7A37986D" w14:textId="77777777" w:rsidR="00D10794" w:rsidRPr="00812801" w:rsidRDefault="00D10794" w:rsidP="00D10794">
      <w:pPr>
        <w:spacing w:after="0"/>
        <w:rPr>
          <w:rFonts w:cs="Arial"/>
          <w:highlight w:val="yellow"/>
        </w:rPr>
      </w:pPr>
    </w:p>
    <w:p w14:paraId="41DF94D8" w14:textId="77777777" w:rsidR="00D10794" w:rsidRPr="00141041" w:rsidRDefault="00162F2E" w:rsidP="00D10794">
      <w:pPr>
        <w:spacing w:after="0"/>
        <w:rPr>
          <w:rFonts w:cs="Arial"/>
        </w:rPr>
      </w:pPr>
      <w:r w:rsidRPr="003710F2">
        <w:rPr>
          <w:rFonts w:cs="Arial"/>
        </w:rPr>
        <w:lastRenderedPageBreak/>
        <w:t xml:space="preserve">As with any such plan, the </w:t>
      </w:r>
      <w:r w:rsidR="00AF06B3" w:rsidRPr="003710F2">
        <w:rPr>
          <w:rFonts w:cs="Arial"/>
        </w:rPr>
        <w:t>medium-term</w:t>
      </w:r>
      <w:r w:rsidRPr="003710F2">
        <w:rPr>
          <w:rFonts w:cs="Arial"/>
        </w:rPr>
        <w:t xml:space="preserve"> financial strategy contains a number of assumptions within future year forecasts reflecting a number of unknown elements in relation to the future funding of local government. </w:t>
      </w:r>
      <w:r w:rsidRPr="00141041">
        <w:rPr>
          <w:rFonts w:cs="Arial"/>
        </w:rPr>
        <w:t xml:space="preserve">In particular for this year the uncertainty around </w:t>
      </w:r>
      <w:r w:rsidR="003710F2" w:rsidRPr="00141041">
        <w:rPr>
          <w:rFonts w:cs="Arial"/>
        </w:rPr>
        <w:t xml:space="preserve">inflation, energy costs and </w:t>
      </w:r>
      <w:r>
        <w:rPr>
          <w:rFonts w:cs="Arial"/>
        </w:rPr>
        <w:t xml:space="preserve">general </w:t>
      </w:r>
      <w:r w:rsidR="003710F2" w:rsidRPr="00141041">
        <w:rPr>
          <w:rFonts w:cs="Arial"/>
        </w:rPr>
        <w:t>cost of living rises</w:t>
      </w:r>
      <w:r w:rsidR="00141041" w:rsidRPr="00141041">
        <w:rPr>
          <w:rFonts w:cs="Arial"/>
        </w:rPr>
        <w:t xml:space="preserve"> </w:t>
      </w:r>
      <w:r w:rsidRPr="00141041">
        <w:rPr>
          <w:rFonts w:cs="Arial"/>
        </w:rPr>
        <w:t xml:space="preserve">creates additional uncertainty. </w:t>
      </w:r>
    </w:p>
    <w:p w14:paraId="395DF710" w14:textId="77777777" w:rsidR="00D10794" w:rsidRPr="00812801" w:rsidRDefault="00D10794" w:rsidP="00D10794">
      <w:pPr>
        <w:spacing w:after="0"/>
        <w:rPr>
          <w:rFonts w:cs="Arial"/>
          <w:highlight w:val="yellow"/>
        </w:rPr>
      </w:pPr>
    </w:p>
    <w:p w14:paraId="64DBFD6C" w14:textId="77777777" w:rsidR="00D10794" w:rsidRDefault="00162F2E" w:rsidP="00D10794">
      <w:pPr>
        <w:spacing w:after="0"/>
        <w:rPr>
          <w:rFonts w:cs="Arial"/>
        </w:rPr>
      </w:pPr>
      <w:r w:rsidRPr="1599F0D3">
        <w:rPr>
          <w:rFonts w:cs="Arial"/>
        </w:rPr>
        <w:t>The government's aim to introduce a new fair funding formula and 75% business rates retention have been further delaye</w:t>
      </w:r>
      <w:r w:rsidR="00141041">
        <w:rPr>
          <w:rFonts w:cs="Arial"/>
        </w:rPr>
        <w:t>d</w:t>
      </w:r>
      <w:r w:rsidRPr="1599F0D3">
        <w:rPr>
          <w:rFonts w:cs="Arial"/>
        </w:rPr>
        <w:t>.</w:t>
      </w:r>
      <w:r w:rsidR="00141041">
        <w:rPr>
          <w:rFonts w:cs="Arial"/>
        </w:rPr>
        <w:t xml:space="preserve"> </w:t>
      </w:r>
      <w:r>
        <w:rPr>
          <w:rFonts w:cs="Arial"/>
        </w:rPr>
        <w:t>We await confirmation of whether these changes will be implemented in 2023/24 or further delayed</w:t>
      </w:r>
      <w:r w:rsidR="00AF06B3">
        <w:rPr>
          <w:rFonts w:cs="Arial"/>
        </w:rPr>
        <w:t>.</w:t>
      </w:r>
      <w:r w:rsidRPr="1599F0D3">
        <w:rPr>
          <w:rFonts w:cs="Arial"/>
        </w:rPr>
        <w:t xml:space="preserve"> As a result of these factors the impact on the council's funding envelope is unknown but will become clearer over the coming months and at this </w:t>
      </w:r>
      <w:r w:rsidR="00AF06B3" w:rsidRPr="1599F0D3">
        <w:rPr>
          <w:rFonts w:cs="Arial"/>
        </w:rPr>
        <w:t>stage,</w:t>
      </w:r>
      <w:r w:rsidRPr="1599F0D3">
        <w:rPr>
          <w:rFonts w:cs="Arial"/>
        </w:rPr>
        <w:t xml:space="preserve"> we </w:t>
      </w:r>
      <w:r>
        <w:rPr>
          <w:rFonts w:cs="Arial"/>
        </w:rPr>
        <w:t xml:space="preserve">still </w:t>
      </w:r>
      <w:r w:rsidRPr="1599F0D3">
        <w:rPr>
          <w:rFonts w:cs="Arial"/>
        </w:rPr>
        <w:t xml:space="preserve">anticipate a spending review and </w:t>
      </w:r>
      <w:r w:rsidR="00F341A9" w:rsidRPr="1599F0D3">
        <w:rPr>
          <w:rFonts w:cs="Arial"/>
        </w:rPr>
        <w:t>longer-term (</w:t>
      </w:r>
      <w:r w:rsidRPr="1599F0D3">
        <w:rPr>
          <w:rFonts w:cs="Arial"/>
        </w:rPr>
        <w:t>potentially 3-year</w:t>
      </w:r>
      <w:r w:rsidR="00F341A9" w:rsidRPr="1599F0D3">
        <w:rPr>
          <w:rFonts w:cs="Arial"/>
        </w:rPr>
        <w:t>) financial</w:t>
      </w:r>
      <w:r w:rsidRPr="1599F0D3">
        <w:rPr>
          <w:rFonts w:cs="Arial"/>
        </w:rPr>
        <w:t xml:space="preserve"> settlement in the autumn.  </w:t>
      </w:r>
    </w:p>
    <w:p w14:paraId="6696058D" w14:textId="77777777" w:rsidR="00D10794" w:rsidRPr="007C7D67" w:rsidRDefault="00D10794" w:rsidP="1599F0D3">
      <w:pPr>
        <w:spacing w:after="0"/>
        <w:rPr>
          <w:rFonts w:cs="Arial"/>
          <w:b/>
          <w:bCs/>
        </w:rPr>
      </w:pPr>
    </w:p>
    <w:sectPr w:rsidR="00D10794" w:rsidRPr="007C7D67" w:rsidSect="00D06CF0">
      <w:pgSz w:w="11906" w:h="16838"/>
      <w:pgMar w:top="567" w:right="1843" w:bottom="567" w:left="15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287B" w14:textId="77777777" w:rsidR="007A63FC" w:rsidRDefault="00162F2E">
      <w:pPr>
        <w:spacing w:after="0"/>
      </w:pPr>
      <w:r>
        <w:separator/>
      </w:r>
    </w:p>
  </w:endnote>
  <w:endnote w:type="continuationSeparator" w:id="0">
    <w:p w14:paraId="58A3E336" w14:textId="77777777" w:rsidR="007A63FC" w:rsidRDefault="00162F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1736" w14:textId="77777777" w:rsidR="00EF3BE0" w:rsidRPr="00976603" w:rsidRDefault="00162F2E" w:rsidP="00D10794">
    <w:pPr>
      <w:pStyle w:val="Footer"/>
      <w:jc w:val="right"/>
      <w:rPr>
        <w:caps/>
        <w:noProof/>
        <w:color w:val="auto"/>
      </w:rPr>
    </w:pPr>
    <w:r w:rsidRPr="00976603">
      <w:rPr>
        <w:caps/>
        <w:color w:val="auto"/>
      </w:rPr>
      <w:fldChar w:fldCharType="begin"/>
    </w:r>
    <w:r w:rsidRPr="00976603">
      <w:rPr>
        <w:caps/>
        <w:color w:val="auto"/>
      </w:rPr>
      <w:instrText xml:space="preserve"> PAGE   \* MERGEFORMAT </w:instrText>
    </w:r>
    <w:r w:rsidRPr="00976603">
      <w:rPr>
        <w:caps/>
        <w:color w:val="auto"/>
      </w:rPr>
      <w:fldChar w:fldCharType="separate"/>
    </w:r>
    <w:r w:rsidRPr="00976603">
      <w:rPr>
        <w:caps/>
        <w:noProof/>
        <w:color w:val="auto"/>
      </w:rPr>
      <w:t>1</w:t>
    </w:r>
    <w:r w:rsidRPr="00976603">
      <w:rPr>
        <w:caps/>
        <w:noProof/>
        <w:color w:val="auto"/>
      </w:rPr>
      <w:fldChar w:fldCharType="end"/>
    </w:r>
  </w:p>
  <w:p w14:paraId="70077331" w14:textId="77777777" w:rsidR="00EF3BE0" w:rsidRDefault="00EF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9F96" w14:textId="77777777" w:rsidR="007A63FC" w:rsidRDefault="00162F2E">
      <w:pPr>
        <w:spacing w:after="0"/>
      </w:pPr>
      <w:r>
        <w:separator/>
      </w:r>
    </w:p>
  </w:footnote>
  <w:footnote w:type="continuationSeparator" w:id="0">
    <w:p w14:paraId="1DB6DF35" w14:textId="77777777" w:rsidR="007A63FC" w:rsidRDefault="00162F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5C3B" w14:textId="77777777" w:rsidR="00EF3BE0" w:rsidRDefault="00162F2E">
    <w:pPr>
      <w:pStyle w:val="Header"/>
    </w:pPr>
    <w:r>
      <w:rPr>
        <w:noProof/>
        <w:lang w:eastAsia="en-GB"/>
      </w:rPr>
      <w:drawing>
        <wp:anchor distT="0" distB="0" distL="114300" distR="114300" simplePos="0" relativeHeight="251658240" behindDoc="1" locked="0" layoutInCell="1" allowOverlap="1" wp14:anchorId="569B1827" wp14:editId="16FA76E6">
          <wp:simplePos x="0" y="0"/>
          <wp:positionH relativeFrom="column">
            <wp:posOffset>-915035</wp:posOffset>
          </wp:positionH>
          <wp:positionV relativeFrom="paragraph">
            <wp:posOffset>-189230</wp:posOffset>
          </wp:positionV>
          <wp:extent cx="7548880" cy="6653530"/>
          <wp:effectExtent l="19050" t="0" r="0" b="0"/>
          <wp:wrapNone/>
          <wp:docPr id="10"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60644"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CF49" w14:textId="77777777" w:rsidR="00EF3BE0" w:rsidRDefault="00162F2E" w:rsidP="00D10794">
    <w:pPr>
      <w:pStyle w:val="Header"/>
    </w:pPr>
    <w:r>
      <w:rPr>
        <w:noProof/>
        <w:lang w:eastAsia="en-GB"/>
      </w:rPr>
      <w:drawing>
        <wp:anchor distT="0" distB="0" distL="114300" distR="114300" simplePos="0" relativeHeight="251659264" behindDoc="1" locked="0" layoutInCell="1" allowOverlap="1" wp14:anchorId="21B00A28" wp14:editId="798267A3">
          <wp:simplePos x="0" y="0"/>
          <wp:positionH relativeFrom="page">
            <wp:align>right</wp:align>
          </wp:positionH>
          <wp:positionV relativeFrom="paragraph">
            <wp:posOffset>-433395</wp:posOffset>
          </wp:positionV>
          <wp:extent cx="7564755" cy="10689590"/>
          <wp:effectExtent l="0" t="0" r="0" b="0"/>
          <wp:wrapNone/>
          <wp:docPr id="12" name="Picture 12"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83276" name="Picture 2"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0377BD8"/>
    <w:multiLevelType w:val="multilevel"/>
    <w:tmpl w:val="B93C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81C4B32"/>
    <w:multiLevelType w:val="multilevel"/>
    <w:tmpl w:val="EF06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9D43959"/>
    <w:multiLevelType w:val="multilevel"/>
    <w:tmpl w:val="711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B4F7F84"/>
    <w:multiLevelType w:val="multilevel"/>
    <w:tmpl w:val="8512A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7858D0"/>
    <w:multiLevelType w:val="hybridMultilevel"/>
    <w:tmpl w:val="1F602B86"/>
    <w:lvl w:ilvl="0" w:tplc="9BAA7284">
      <w:start w:val="1"/>
      <w:numFmt w:val="lowerLetter"/>
      <w:lvlText w:val="%1)"/>
      <w:lvlJc w:val="left"/>
      <w:pPr>
        <w:ind w:left="1080" w:hanging="360"/>
      </w:pPr>
      <w:rPr>
        <w:rFonts w:hint="default"/>
      </w:rPr>
    </w:lvl>
    <w:lvl w:ilvl="1" w:tplc="BC269A6C" w:tentative="1">
      <w:start w:val="1"/>
      <w:numFmt w:val="lowerLetter"/>
      <w:lvlText w:val="%2."/>
      <w:lvlJc w:val="left"/>
      <w:pPr>
        <w:ind w:left="1800" w:hanging="360"/>
      </w:pPr>
    </w:lvl>
    <w:lvl w:ilvl="2" w:tplc="CFA0CE56" w:tentative="1">
      <w:start w:val="1"/>
      <w:numFmt w:val="lowerRoman"/>
      <w:lvlText w:val="%3."/>
      <w:lvlJc w:val="right"/>
      <w:pPr>
        <w:ind w:left="2520" w:hanging="180"/>
      </w:pPr>
    </w:lvl>
    <w:lvl w:ilvl="3" w:tplc="701A1DAC" w:tentative="1">
      <w:start w:val="1"/>
      <w:numFmt w:val="decimal"/>
      <w:lvlText w:val="%4."/>
      <w:lvlJc w:val="left"/>
      <w:pPr>
        <w:ind w:left="3240" w:hanging="360"/>
      </w:pPr>
    </w:lvl>
    <w:lvl w:ilvl="4" w:tplc="D32E4492" w:tentative="1">
      <w:start w:val="1"/>
      <w:numFmt w:val="lowerLetter"/>
      <w:lvlText w:val="%5."/>
      <w:lvlJc w:val="left"/>
      <w:pPr>
        <w:ind w:left="3960" w:hanging="360"/>
      </w:pPr>
    </w:lvl>
    <w:lvl w:ilvl="5" w:tplc="28082D94" w:tentative="1">
      <w:start w:val="1"/>
      <w:numFmt w:val="lowerRoman"/>
      <w:lvlText w:val="%6."/>
      <w:lvlJc w:val="right"/>
      <w:pPr>
        <w:ind w:left="4680" w:hanging="180"/>
      </w:pPr>
    </w:lvl>
    <w:lvl w:ilvl="6" w:tplc="0CBA7F12" w:tentative="1">
      <w:start w:val="1"/>
      <w:numFmt w:val="decimal"/>
      <w:lvlText w:val="%7."/>
      <w:lvlJc w:val="left"/>
      <w:pPr>
        <w:ind w:left="5400" w:hanging="360"/>
      </w:pPr>
    </w:lvl>
    <w:lvl w:ilvl="7" w:tplc="49F48F2E" w:tentative="1">
      <w:start w:val="1"/>
      <w:numFmt w:val="lowerLetter"/>
      <w:lvlText w:val="%8."/>
      <w:lvlJc w:val="left"/>
      <w:pPr>
        <w:ind w:left="6120" w:hanging="360"/>
      </w:pPr>
    </w:lvl>
    <w:lvl w:ilvl="8" w:tplc="5552978E" w:tentative="1">
      <w:start w:val="1"/>
      <w:numFmt w:val="lowerRoman"/>
      <w:lvlText w:val="%9."/>
      <w:lvlJc w:val="right"/>
      <w:pPr>
        <w:ind w:left="6840" w:hanging="180"/>
      </w:pPr>
    </w:lvl>
  </w:abstractNum>
  <w:abstractNum w:abstractNumId="25" w15:restartNumberingAfterBreak="0">
    <w:nsid w:val="17C62BE6"/>
    <w:multiLevelType w:val="hybridMultilevel"/>
    <w:tmpl w:val="B03ECBA0"/>
    <w:lvl w:ilvl="0" w:tplc="C0C61B5A">
      <w:start w:val="1"/>
      <w:numFmt w:val="bullet"/>
      <w:lvlText w:val=""/>
      <w:lvlJc w:val="left"/>
      <w:pPr>
        <w:ind w:left="720" w:hanging="360"/>
      </w:pPr>
      <w:rPr>
        <w:rFonts w:ascii="Symbol" w:hAnsi="Symbol" w:hint="default"/>
      </w:rPr>
    </w:lvl>
    <w:lvl w:ilvl="1" w:tplc="928A3B54" w:tentative="1">
      <w:start w:val="1"/>
      <w:numFmt w:val="bullet"/>
      <w:lvlText w:val="o"/>
      <w:lvlJc w:val="left"/>
      <w:pPr>
        <w:ind w:left="1440" w:hanging="360"/>
      </w:pPr>
      <w:rPr>
        <w:rFonts w:ascii="Courier New" w:hAnsi="Courier New" w:cs="Courier New" w:hint="default"/>
      </w:rPr>
    </w:lvl>
    <w:lvl w:ilvl="2" w:tplc="5DCCEEF6" w:tentative="1">
      <w:start w:val="1"/>
      <w:numFmt w:val="bullet"/>
      <w:lvlText w:val=""/>
      <w:lvlJc w:val="left"/>
      <w:pPr>
        <w:ind w:left="2160" w:hanging="360"/>
      </w:pPr>
      <w:rPr>
        <w:rFonts w:ascii="Wingdings" w:hAnsi="Wingdings" w:hint="default"/>
      </w:rPr>
    </w:lvl>
    <w:lvl w:ilvl="3" w:tplc="F4D07910" w:tentative="1">
      <w:start w:val="1"/>
      <w:numFmt w:val="bullet"/>
      <w:lvlText w:val=""/>
      <w:lvlJc w:val="left"/>
      <w:pPr>
        <w:ind w:left="2880" w:hanging="360"/>
      </w:pPr>
      <w:rPr>
        <w:rFonts w:ascii="Symbol" w:hAnsi="Symbol" w:hint="default"/>
      </w:rPr>
    </w:lvl>
    <w:lvl w:ilvl="4" w:tplc="C7DAAEBE" w:tentative="1">
      <w:start w:val="1"/>
      <w:numFmt w:val="bullet"/>
      <w:lvlText w:val="o"/>
      <w:lvlJc w:val="left"/>
      <w:pPr>
        <w:ind w:left="3600" w:hanging="360"/>
      </w:pPr>
      <w:rPr>
        <w:rFonts w:ascii="Courier New" w:hAnsi="Courier New" w:cs="Courier New" w:hint="default"/>
      </w:rPr>
    </w:lvl>
    <w:lvl w:ilvl="5" w:tplc="3040920C" w:tentative="1">
      <w:start w:val="1"/>
      <w:numFmt w:val="bullet"/>
      <w:lvlText w:val=""/>
      <w:lvlJc w:val="left"/>
      <w:pPr>
        <w:ind w:left="4320" w:hanging="360"/>
      </w:pPr>
      <w:rPr>
        <w:rFonts w:ascii="Wingdings" w:hAnsi="Wingdings" w:hint="default"/>
      </w:rPr>
    </w:lvl>
    <w:lvl w:ilvl="6" w:tplc="48CE6C20" w:tentative="1">
      <w:start w:val="1"/>
      <w:numFmt w:val="bullet"/>
      <w:lvlText w:val=""/>
      <w:lvlJc w:val="left"/>
      <w:pPr>
        <w:ind w:left="5040" w:hanging="360"/>
      </w:pPr>
      <w:rPr>
        <w:rFonts w:ascii="Symbol" w:hAnsi="Symbol" w:hint="default"/>
      </w:rPr>
    </w:lvl>
    <w:lvl w:ilvl="7" w:tplc="87A4FFE4" w:tentative="1">
      <w:start w:val="1"/>
      <w:numFmt w:val="bullet"/>
      <w:lvlText w:val="o"/>
      <w:lvlJc w:val="left"/>
      <w:pPr>
        <w:ind w:left="5760" w:hanging="360"/>
      </w:pPr>
      <w:rPr>
        <w:rFonts w:ascii="Courier New" w:hAnsi="Courier New" w:cs="Courier New" w:hint="default"/>
      </w:rPr>
    </w:lvl>
    <w:lvl w:ilvl="8" w:tplc="8A1AAFCE" w:tentative="1">
      <w:start w:val="1"/>
      <w:numFmt w:val="bullet"/>
      <w:lvlText w:val=""/>
      <w:lvlJc w:val="left"/>
      <w:pPr>
        <w:ind w:left="6480" w:hanging="360"/>
      </w:pPr>
      <w:rPr>
        <w:rFonts w:ascii="Wingdings" w:hAnsi="Wingdings" w:hint="default"/>
      </w:rPr>
    </w:lvl>
  </w:abstractNum>
  <w:abstractNum w:abstractNumId="26" w15:restartNumberingAfterBreak="0">
    <w:nsid w:val="1C400BE0"/>
    <w:multiLevelType w:val="hybridMultilevel"/>
    <w:tmpl w:val="DC62289A"/>
    <w:lvl w:ilvl="0" w:tplc="69126782">
      <w:start w:val="1"/>
      <w:numFmt w:val="bullet"/>
      <w:lvlText w:val=""/>
      <w:lvlJc w:val="left"/>
      <w:pPr>
        <w:ind w:left="720" w:hanging="360"/>
      </w:pPr>
      <w:rPr>
        <w:rFonts w:ascii="Symbol" w:hAnsi="Symbol" w:hint="default"/>
      </w:rPr>
    </w:lvl>
    <w:lvl w:ilvl="1" w:tplc="7054D0EE" w:tentative="1">
      <w:start w:val="1"/>
      <w:numFmt w:val="bullet"/>
      <w:lvlText w:val="o"/>
      <w:lvlJc w:val="left"/>
      <w:pPr>
        <w:ind w:left="1440" w:hanging="360"/>
      </w:pPr>
      <w:rPr>
        <w:rFonts w:ascii="Courier New" w:hAnsi="Courier New" w:cs="Courier New" w:hint="default"/>
      </w:rPr>
    </w:lvl>
    <w:lvl w:ilvl="2" w:tplc="B8A2B8B0" w:tentative="1">
      <w:start w:val="1"/>
      <w:numFmt w:val="bullet"/>
      <w:lvlText w:val=""/>
      <w:lvlJc w:val="left"/>
      <w:pPr>
        <w:ind w:left="2160" w:hanging="360"/>
      </w:pPr>
      <w:rPr>
        <w:rFonts w:ascii="Wingdings" w:hAnsi="Wingdings" w:hint="default"/>
      </w:rPr>
    </w:lvl>
    <w:lvl w:ilvl="3" w:tplc="B5F4CFC4" w:tentative="1">
      <w:start w:val="1"/>
      <w:numFmt w:val="bullet"/>
      <w:lvlText w:val=""/>
      <w:lvlJc w:val="left"/>
      <w:pPr>
        <w:ind w:left="2880" w:hanging="360"/>
      </w:pPr>
      <w:rPr>
        <w:rFonts w:ascii="Symbol" w:hAnsi="Symbol" w:hint="default"/>
      </w:rPr>
    </w:lvl>
    <w:lvl w:ilvl="4" w:tplc="08089C10" w:tentative="1">
      <w:start w:val="1"/>
      <w:numFmt w:val="bullet"/>
      <w:lvlText w:val="o"/>
      <w:lvlJc w:val="left"/>
      <w:pPr>
        <w:ind w:left="3600" w:hanging="360"/>
      </w:pPr>
      <w:rPr>
        <w:rFonts w:ascii="Courier New" w:hAnsi="Courier New" w:cs="Courier New" w:hint="default"/>
      </w:rPr>
    </w:lvl>
    <w:lvl w:ilvl="5" w:tplc="AFE8E490" w:tentative="1">
      <w:start w:val="1"/>
      <w:numFmt w:val="bullet"/>
      <w:lvlText w:val=""/>
      <w:lvlJc w:val="left"/>
      <w:pPr>
        <w:ind w:left="4320" w:hanging="360"/>
      </w:pPr>
      <w:rPr>
        <w:rFonts w:ascii="Wingdings" w:hAnsi="Wingdings" w:hint="default"/>
      </w:rPr>
    </w:lvl>
    <w:lvl w:ilvl="6" w:tplc="EF30BA30" w:tentative="1">
      <w:start w:val="1"/>
      <w:numFmt w:val="bullet"/>
      <w:lvlText w:val=""/>
      <w:lvlJc w:val="left"/>
      <w:pPr>
        <w:ind w:left="5040" w:hanging="360"/>
      </w:pPr>
      <w:rPr>
        <w:rFonts w:ascii="Symbol" w:hAnsi="Symbol" w:hint="default"/>
      </w:rPr>
    </w:lvl>
    <w:lvl w:ilvl="7" w:tplc="7080599C" w:tentative="1">
      <w:start w:val="1"/>
      <w:numFmt w:val="bullet"/>
      <w:lvlText w:val="o"/>
      <w:lvlJc w:val="left"/>
      <w:pPr>
        <w:ind w:left="5760" w:hanging="360"/>
      </w:pPr>
      <w:rPr>
        <w:rFonts w:ascii="Courier New" w:hAnsi="Courier New" w:cs="Courier New" w:hint="default"/>
      </w:rPr>
    </w:lvl>
    <w:lvl w:ilvl="8" w:tplc="2B6E7E42" w:tentative="1">
      <w:start w:val="1"/>
      <w:numFmt w:val="bullet"/>
      <w:lvlText w:val=""/>
      <w:lvlJc w:val="left"/>
      <w:pPr>
        <w:ind w:left="6480" w:hanging="360"/>
      </w:pPr>
      <w:rPr>
        <w:rFonts w:ascii="Wingdings" w:hAnsi="Wingdings" w:hint="default"/>
      </w:rPr>
    </w:lvl>
  </w:abstractNum>
  <w:abstractNum w:abstractNumId="27" w15:restartNumberingAfterBreak="0">
    <w:nsid w:val="1D916EA4"/>
    <w:multiLevelType w:val="multilevel"/>
    <w:tmpl w:val="B6627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2207C5"/>
    <w:multiLevelType w:val="multilevel"/>
    <w:tmpl w:val="90DCE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7F5C62"/>
    <w:multiLevelType w:val="multilevel"/>
    <w:tmpl w:val="B7CC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2607016"/>
    <w:multiLevelType w:val="multilevel"/>
    <w:tmpl w:val="BA4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C31BE9"/>
    <w:multiLevelType w:val="hybridMultilevel"/>
    <w:tmpl w:val="9B6E3D76"/>
    <w:lvl w:ilvl="0" w:tplc="B6B83A34">
      <w:start w:val="1"/>
      <w:numFmt w:val="upperLetter"/>
      <w:lvlText w:val="(%1)"/>
      <w:lvlJc w:val="left"/>
      <w:pPr>
        <w:ind w:left="720" w:hanging="360"/>
      </w:pPr>
      <w:rPr>
        <w:rFonts w:hint="default"/>
      </w:rPr>
    </w:lvl>
    <w:lvl w:ilvl="1" w:tplc="687E49EC" w:tentative="1">
      <w:start w:val="1"/>
      <w:numFmt w:val="lowerLetter"/>
      <w:lvlText w:val="%2."/>
      <w:lvlJc w:val="left"/>
      <w:pPr>
        <w:ind w:left="1440" w:hanging="360"/>
      </w:pPr>
    </w:lvl>
    <w:lvl w:ilvl="2" w:tplc="4D58B700" w:tentative="1">
      <w:start w:val="1"/>
      <w:numFmt w:val="lowerRoman"/>
      <w:lvlText w:val="%3."/>
      <w:lvlJc w:val="right"/>
      <w:pPr>
        <w:ind w:left="2160" w:hanging="180"/>
      </w:pPr>
    </w:lvl>
    <w:lvl w:ilvl="3" w:tplc="E85A678C" w:tentative="1">
      <w:start w:val="1"/>
      <w:numFmt w:val="decimal"/>
      <w:lvlText w:val="%4."/>
      <w:lvlJc w:val="left"/>
      <w:pPr>
        <w:ind w:left="2880" w:hanging="360"/>
      </w:pPr>
    </w:lvl>
    <w:lvl w:ilvl="4" w:tplc="F64A25CE" w:tentative="1">
      <w:start w:val="1"/>
      <w:numFmt w:val="lowerLetter"/>
      <w:lvlText w:val="%5."/>
      <w:lvlJc w:val="left"/>
      <w:pPr>
        <w:ind w:left="3600" w:hanging="360"/>
      </w:pPr>
    </w:lvl>
    <w:lvl w:ilvl="5" w:tplc="CA5E1406" w:tentative="1">
      <w:start w:val="1"/>
      <w:numFmt w:val="lowerRoman"/>
      <w:lvlText w:val="%6."/>
      <w:lvlJc w:val="right"/>
      <w:pPr>
        <w:ind w:left="4320" w:hanging="180"/>
      </w:pPr>
    </w:lvl>
    <w:lvl w:ilvl="6" w:tplc="9FFCF73C" w:tentative="1">
      <w:start w:val="1"/>
      <w:numFmt w:val="decimal"/>
      <w:lvlText w:val="%7."/>
      <w:lvlJc w:val="left"/>
      <w:pPr>
        <w:ind w:left="5040" w:hanging="360"/>
      </w:pPr>
    </w:lvl>
    <w:lvl w:ilvl="7" w:tplc="77602E68" w:tentative="1">
      <w:start w:val="1"/>
      <w:numFmt w:val="lowerLetter"/>
      <w:lvlText w:val="%8."/>
      <w:lvlJc w:val="left"/>
      <w:pPr>
        <w:ind w:left="5760" w:hanging="360"/>
      </w:pPr>
    </w:lvl>
    <w:lvl w:ilvl="8" w:tplc="DB60AAAE" w:tentative="1">
      <w:start w:val="1"/>
      <w:numFmt w:val="lowerRoman"/>
      <w:lvlText w:val="%9."/>
      <w:lvlJc w:val="right"/>
      <w:pPr>
        <w:ind w:left="6480" w:hanging="180"/>
      </w:pPr>
    </w:lvl>
  </w:abstractNum>
  <w:abstractNum w:abstractNumId="32" w15:restartNumberingAfterBreak="0">
    <w:nsid w:val="26AB3411"/>
    <w:multiLevelType w:val="hybridMultilevel"/>
    <w:tmpl w:val="691852CA"/>
    <w:lvl w:ilvl="0" w:tplc="CD6643BC">
      <w:numFmt w:val="bullet"/>
      <w:lvlText w:val="-"/>
      <w:lvlJc w:val="left"/>
      <w:pPr>
        <w:ind w:left="720" w:hanging="360"/>
      </w:pPr>
      <w:rPr>
        <w:rFonts w:ascii="Arial" w:eastAsia="Times New Roman" w:hAnsi="Arial" w:cs="Arial" w:hint="default"/>
      </w:rPr>
    </w:lvl>
    <w:lvl w:ilvl="1" w:tplc="F00C90CC" w:tentative="1">
      <w:start w:val="1"/>
      <w:numFmt w:val="bullet"/>
      <w:lvlText w:val="o"/>
      <w:lvlJc w:val="left"/>
      <w:pPr>
        <w:ind w:left="1440" w:hanging="360"/>
      </w:pPr>
      <w:rPr>
        <w:rFonts w:ascii="Courier New" w:hAnsi="Courier New" w:cs="Courier New" w:hint="default"/>
      </w:rPr>
    </w:lvl>
    <w:lvl w:ilvl="2" w:tplc="83E0920E" w:tentative="1">
      <w:start w:val="1"/>
      <w:numFmt w:val="bullet"/>
      <w:lvlText w:val=""/>
      <w:lvlJc w:val="left"/>
      <w:pPr>
        <w:ind w:left="2160" w:hanging="360"/>
      </w:pPr>
      <w:rPr>
        <w:rFonts w:ascii="Wingdings" w:hAnsi="Wingdings" w:hint="default"/>
      </w:rPr>
    </w:lvl>
    <w:lvl w:ilvl="3" w:tplc="CD1A0FFE" w:tentative="1">
      <w:start w:val="1"/>
      <w:numFmt w:val="bullet"/>
      <w:lvlText w:val=""/>
      <w:lvlJc w:val="left"/>
      <w:pPr>
        <w:ind w:left="2880" w:hanging="360"/>
      </w:pPr>
      <w:rPr>
        <w:rFonts w:ascii="Symbol" w:hAnsi="Symbol" w:hint="default"/>
      </w:rPr>
    </w:lvl>
    <w:lvl w:ilvl="4" w:tplc="059473E4" w:tentative="1">
      <w:start w:val="1"/>
      <w:numFmt w:val="bullet"/>
      <w:lvlText w:val="o"/>
      <w:lvlJc w:val="left"/>
      <w:pPr>
        <w:ind w:left="3600" w:hanging="360"/>
      </w:pPr>
      <w:rPr>
        <w:rFonts w:ascii="Courier New" w:hAnsi="Courier New" w:cs="Courier New" w:hint="default"/>
      </w:rPr>
    </w:lvl>
    <w:lvl w:ilvl="5" w:tplc="8E7A53D8" w:tentative="1">
      <w:start w:val="1"/>
      <w:numFmt w:val="bullet"/>
      <w:lvlText w:val=""/>
      <w:lvlJc w:val="left"/>
      <w:pPr>
        <w:ind w:left="4320" w:hanging="360"/>
      </w:pPr>
      <w:rPr>
        <w:rFonts w:ascii="Wingdings" w:hAnsi="Wingdings" w:hint="default"/>
      </w:rPr>
    </w:lvl>
    <w:lvl w:ilvl="6" w:tplc="10D6432A" w:tentative="1">
      <w:start w:val="1"/>
      <w:numFmt w:val="bullet"/>
      <w:lvlText w:val=""/>
      <w:lvlJc w:val="left"/>
      <w:pPr>
        <w:ind w:left="5040" w:hanging="360"/>
      </w:pPr>
      <w:rPr>
        <w:rFonts w:ascii="Symbol" w:hAnsi="Symbol" w:hint="default"/>
      </w:rPr>
    </w:lvl>
    <w:lvl w:ilvl="7" w:tplc="3848A9A6" w:tentative="1">
      <w:start w:val="1"/>
      <w:numFmt w:val="bullet"/>
      <w:lvlText w:val="o"/>
      <w:lvlJc w:val="left"/>
      <w:pPr>
        <w:ind w:left="5760" w:hanging="360"/>
      </w:pPr>
      <w:rPr>
        <w:rFonts w:ascii="Courier New" w:hAnsi="Courier New" w:cs="Courier New" w:hint="default"/>
      </w:rPr>
    </w:lvl>
    <w:lvl w:ilvl="8" w:tplc="BF6661D0" w:tentative="1">
      <w:start w:val="1"/>
      <w:numFmt w:val="bullet"/>
      <w:lvlText w:val=""/>
      <w:lvlJc w:val="left"/>
      <w:pPr>
        <w:ind w:left="6480" w:hanging="360"/>
      </w:pPr>
      <w:rPr>
        <w:rFonts w:ascii="Wingdings" w:hAnsi="Wingdings" w:hint="default"/>
      </w:rPr>
    </w:lvl>
  </w:abstractNum>
  <w:abstractNum w:abstractNumId="33" w15:restartNumberingAfterBreak="0">
    <w:nsid w:val="26FE1F70"/>
    <w:multiLevelType w:val="hybridMultilevel"/>
    <w:tmpl w:val="91C26BC0"/>
    <w:lvl w:ilvl="0" w:tplc="1F267EEC">
      <w:start w:val="1"/>
      <w:numFmt w:val="bullet"/>
      <w:lvlText w:val="-"/>
      <w:lvlJc w:val="left"/>
      <w:pPr>
        <w:ind w:left="720" w:hanging="360"/>
      </w:pPr>
      <w:rPr>
        <w:rFonts w:ascii="&quot;Calibri&quot;,sans-serif" w:hAnsi="&quot;Calibri&quot;,sans-serif" w:hint="default"/>
      </w:rPr>
    </w:lvl>
    <w:lvl w:ilvl="1" w:tplc="8C422F9C">
      <w:start w:val="1"/>
      <w:numFmt w:val="bullet"/>
      <w:lvlText w:val="o"/>
      <w:lvlJc w:val="left"/>
      <w:pPr>
        <w:ind w:left="1440" w:hanging="360"/>
      </w:pPr>
      <w:rPr>
        <w:rFonts w:ascii="Courier New" w:hAnsi="Courier New" w:hint="default"/>
      </w:rPr>
    </w:lvl>
    <w:lvl w:ilvl="2" w:tplc="CFBCDAC6">
      <w:start w:val="1"/>
      <w:numFmt w:val="bullet"/>
      <w:lvlText w:val=""/>
      <w:lvlJc w:val="left"/>
      <w:pPr>
        <w:ind w:left="2160" w:hanging="360"/>
      </w:pPr>
      <w:rPr>
        <w:rFonts w:ascii="Wingdings" w:hAnsi="Wingdings" w:hint="default"/>
      </w:rPr>
    </w:lvl>
    <w:lvl w:ilvl="3" w:tplc="5C361B96">
      <w:start w:val="1"/>
      <w:numFmt w:val="bullet"/>
      <w:lvlText w:val=""/>
      <w:lvlJc w:val="left"/>
      <w:pPr>
        <w:ind w:left="2880" w:hanging="360"/>
      </w:pPr>
      <w:rPr>
        <w:rFonts w:ascii="Symbol" w:hAnsi="Symbol" w:hint="default"/>
      </w:rPr>
    </w:lvl>
    <w:lvl w:ilvl="4" w:tplc="8E3AEF7E">
      <w:start w:val="1"/>
      <w:numFmt w:val="bullet"/>
      <w:lvlText w:val="o"/>
      <w:lvlJc w:val="left"/>
      <w:pPr>
        <w:ind w:left="3600" w:hanging="360"/>
      </w:pPr>
      <w:rPr>
        <w:rFonts w:ascii="Courier New" w:hAnsi="Courier New" w:hint="default"/>
      </w:rPr>
    </w:lvl>
    <w:lvl w:ilvl="5" w:tplc="67AEF2E4">
      <w:start w:val="1"/>
      <w:numFmt w:val="bullet"/>
      <w:lvlText w:val=""/>
      <w:lvlJc w:val="left"/>
      <w:pPr>
        <w:ind w:left="4320" w:hanging="360"/>
      </w:pPr>
      <w:rPr>
        <w:rFonts w:ascii="Wingdings" w:hAnsi="Wingdings" w:hint="default"/>
      </w:rPr>
    </w:lvl>
    <w:lvl w:ilvl="6" w:tplc="C240CA3C">
      <w:start w:val="1"/>
      <w:numFmt w:val="bullet"/>
      <w:lvlText w:val=""/>
      <w:lvlJc w:val="left"/>
      <w:pPr>
        <w:ind w:left="5040" w:hanging="360"/>
      </w:pPr>
      <w:rPr>
        <w:rFonts w:ascii="Symbol" w:hAnsi="Symbol" w:hint="default"/>
      </w:rPr>
    </w:lvl>
    <w:lvl w:ilvl="7" w:tplc="EF7877A4">
      <w:start w:val="1"/>
      <w:numFmt w:val="bullet"/>
      <w:lvlText w:val="o"/>
      <w:lvlJc w:val="left"/>
      <w:pPr>
        <w:ind w:left="5760" w:hanging="360"/>
      </w:pPr>
      <w:rPr>
        <w:rFonts w:ascii="Courier New" w:hAnsi="Courier New" w:hint="default"/>
      </w:rPr>
    </w:lvl>
    <w:lvl w:ilvl="8" w:tplc="33EC2C94">
      <w:start w:val="1"/>
      <w:numFmt w:val="bullet"/>
      <w:lvlText w:val=""/>
      <w:lvlJc w:val="left"/>
      <w:pPr>
        <w:ind w:left="6480" w:hanging="360"/>
      </w:pPr>
      <w:rPr>
        <w:rFonts w:ascii="Wingdings" w:hAnsi="Wingdings" w:hint="default"/>
      </w:rPr>
    </w:lvl>
  </w:abstractNum>
  <w:abstractNum w:abstractNumId="34" w15:restartNumberingAfterBreak="0">
    <w:nsid w:val="28033187"/>
    <w:multiLevelType w:val="hybridMultilevel"/>
    <w:tmpl w:val="FFFFFFFF"/>
    <w:lvl w:ilvl="0" w:tplc="256E434A">
      <w:start w:val="1"/>
      <w:numFmt w:val="bullet"/>
      <w:lvlText w:val=""/>
      <w:lvlJc w:val="left"/>
      <w:pPr>
        <w:ind w:left="720" w:hanging="360"/>
      </w:pPr>
      <w:rPr>
        <w:rFonts w:ascii="Symbol" w:hAnsi="Symbol" w:hint="default"/>
      </w:rPr>
    </w:lvl>
    <w:lvl w:ilvl="1" w:tplc="D9507FA4">
      <w:start w:val="1"/>
      <w:numFmt w:val="bullet"/>
      <w:lvlText w:val="o"/>
      <w:lvlJc w:val="left"/>
      <w:pPr>
        <w:ind w:left="1440" w:hanging="360"/>
      </w:pPr>
      <w:rPr>
        <w:rFonts w:ascii="Courier New" w:hAnsi="Courier New" w:hint="default"/>
      </w:rPr>
    </w:lvl>
    <w:lvl w:ilvl="2" w:tplc="4EF686B4">
      <w:start w:val="1"/>
      <w:numFmt w:val="bullet"/>
      <w:lvlText w:val=""/>
      <w:lvlJc w:val="left"/>
      <w:pPr>
        <w:ind w:left="2160" w:hanging="360"/>
      </w:pPr>
      <w:rPr>
        <w:rFonts w:ascii="Wingdings" w:hAnsi="Wingdings" w:hint="default"/>
      </w:rPr>
    </w:lvl>
    <w:lvl w:ilvl="3" w:tplc="4B821D7A">
      <w:start w:val="1"/>
      <w:numFmt w:val="bullet"/>
      <w:lvlText w:val=""/>
      <w:lvlJc w:val="left"/>
      <w:pPr>
        <w:ind w:left="2880" w:hanging="360"/>
      </w:pPr>
      <w:rPr>
        <w:rFonts w:ascii="Symbol" w:hAnsi="Symbol" w:hint="default"/>
      </w:rPr>
    </w:lvl>
    <w:lvl w:ilvl="4" w:tplc="24AADB1A">
      <w:start w:val="1"/>
      <w:numFmt w:val="bullet"/>
      <w:lvlText w:val="o"/>
      <w:lvlJc w:val="left"/>
      <w:pPr>
        <w:ind w:left="3600" w:hanging="360"/>
      </w:pPr>
      <w:rPr>
        <w:rFonts w:ascii="Courier New" w:hAnsi="Courier New" w:hint="default"/>
      </w:rPr>
    </w:lvl>
    <w:lvl w:ilvl="5" w:tplc="2C2855EC">
      <w:start w:val="1"/>
      <w:numFmt w:val="bullet"/>
      <w:lvlText w:val=""/>
      <w:lvlJc w:val="left"/>
      <w:pPr>
        <w:ind w:left="4320" w:hanging="360"/>
      </w:pPr>
      <w:rPr>
        <w:rFonts w:ascii="Wingdings" w:hAnsi="Wingdings" w:hint="default"/>
      </w:rPr>
    </w:lvl>
    <w:lvl w:ilvl="6" w:tplc="D5A49E7A">
      <w:start w:val="1"/>
      <w:numFmt w:val="bullet"/>
      <w:lvlText w:val=""/>
      <w:lvlJc w:val="left"/>
      <w:pPr>
        <w:ind w:left="5040" w:hanging="360"/>
      </w:pPr>
      <w:rPr>
        <w:rFonts w:ascii="Symbol" w:hAnsi="Symbol" w:hint="default"/>
      </w:rPr>
    </w:lvl>
    <w:lvl w:ilvl="7" w:tplc="36E2032E">
      <w:start w:val="1"/>
      <w:numFmt w:val="bullet"/>
      <w:lvlText w:val="o"/>
      <w:lvlJc w:val="left"/>
      <w:pPr>
        <w:ind w:left="5760" w:hanging="360"/>
      </w:pPr>
      <w:rPr>
        <w:rFonts w:ascii="Courier New" w:hAnsi="Courier New" w:hint="default"/>
      </w:rPr>
    </w:lvl>
    <w:lvl w:ilvl="8" w:tplc="5150F39A">
      <w:start w:val="1"/>
      <w:numFmt w:val="bullet"/>
      <w:lvlText w:val=""/>
      <w:lvlJc w:val="left"/>
      <w:pPr>
        <w:ind w:left="6480" w:hanging="360"/>
      </w:pPr>
      <w:rPr>
        <w:rFonts w:ascii="Wingdings" w:hAnsi="Wingdings" w:hint="default"/>
      </w:rPr>
    </w:lvl>
  </w:abstractNum>
  <w:abstractNum w:abstractNumId="35" w15:restartNumberingAfterBreak="0">
    <w:nsid w:val="2EDD0CE7"/>
    <w:multiLevelType w:val="hybridMultilevel"/>
    <w:tmpl w:val="520E4B30"/>
    <w:lvl w:ilvl="0" w:tplc="9C90DDD0">
      <w:start w:val="1"/>
      <w:numFmt w:val="lowerLetter"/>
      <w:lvlText w:val="%1)"/>
      <w:lvlJc w:val="left"/>
      <w:pPr>
        <w:ind w:left="1080" w:hanging="360"/>
      </w:pPr>
      <w:rPr>
        <w:rFonts w:hint="default"/>
      </w:rPr>
    </w:lvl>
    <w:lvl w:ilvl="1" w:tplc="1E6EA838" w:tentative="1">
      <w:start w:val="1"/>
      <w:numFmt w:val="lowerLetter"/>
      <w:lvlText w:val="%2."/>
      <w:lvlJc w:val="left"/>
      <w:pPr>
        <w:ind w:left="1800" w:hanging="360"/>
      </w:pPr>
    </w:lvl>
    <w:lvl w:ilvl="2" w:tplc="E1CA9E7A" w:tentative="1">
      <w:start w:val="1"/>
      <w:numFmt w:val="lowerRoman"/>
      <w:lvlText w:val="%3."/>
      <w:lvlJc w:val="right"/>
      <w:pPr>
        <w:ind w:left="2520" w:hanging="180"/>
      </w:pPr>
    </w:lvl>
    <w:lvl w:ilvl="3" w:tplc="36C48AE6" w:tentative="1">
      <w:start w:val="1"/>
      <w:numFmt w:val="decimal"/>
      <w:lvlText w:val="%4."/>
      <w:lvlJc w:val="left"/>
      <w:pPr>
        <w:ind w:left="3240" w:hanging="360"/>
      </w:pPr>
    </w:lvl>
    <w:lvl w:ilvl="4" w:tplc="3B300CF6" w:tentative="1">
      <w:start w:val="1"/>
      <w:numFmt w:val="lowerLetter"/>
      <w:lvlText w:val="%5."/>
      <w:lvlJc w:val="left"/>
      <w:pPr>
        <w:ind w:left="3960" w:hanging="360"/>
      </w:pPr>
    </w:lvl>
    <w:lvl w:ilvl="5" w:tplc="85A463FE" w:tentative="1">
      <w:start w:val="1"/>
      <w:numFmt w:val="lowerRoman"/>
      <w:lvlText w:val="%6."/>
      <w:lvlJc w:val="right"/>
      <w:pPr>
        <w:ind w:left="4680" w:hanging="180"/>
      </w:pPr>
    </w:lvl>
    <w:lvl w:ilvl="6" w:tplc="7DBAE268" w:tentative="1">
      <w:start w:val="1"/>
      <w:numFmt w:val="decimal"/>
      <w:lvlText w:val="%7."/>
      <w:lvlJc w:val="left"/>
      <w:pPr>
        <w:ind w:left="5400" w:hanging="360"/>
      </w:pPr>
    </w:lvl>
    <w:lvl w:ilvl="7" w:tplc="4D203CA2" w:tentative="1">
      <w:start w:val="1"/>
      <w:numFmt w:val="lowerLetter"/>
      <w:lvlText w:val="%8."/>
      <w:lvlJc w:val="left"/>
      <w:pPr>
        <w:ind w:left="6120" w:hanging="360"/>
      </w:pPr>
    </w:lvl>
    <w:lvl w:ilvl="8" w:tplc="8A58CCC0" w:tentative="1">
      <w:start w:val="1"/>
      <w:numFmt w:val="lowerRoman"/>
      <w:lvlText w:val="%9."/>
      <w:lvlJc w:val="right"/>
      <w:pPr>
        <w:ind w:left="6840" w:hanging="180"/>
      </w:pPr>
    </w:lvl>
  </w:abstractNum>
  <w:abstractNum w:abstractNumId="36" w15:restartNumberingAfterBreak="0">
    <w:nsid w:val="321170BE"/>
    <w:multiLevelType w:val="hybridMultilevel"/>
    <w:tmpl w:val="19147E50"/>
    <w:lvl w:ilvl="0" w:tplc="C0ECB182">
      <w:start w:val="1"/>
      <w:numFmt w:val="bullet"/>
      <w:lvlText w:val="-"/>
      <w:lvlJc w:val="left"/>
      <w:pPr>
        <w:ind w:left="720" w:hanging="360"/>
      </w:pPr>
      <w:rPr>
        <w:rFonts w:ascii="Calibri" w:eastAsiaTheme="minorHAnsi" w:hAnsi="Calibri" w:cstheme="minorBidi" w:hint="default"/>
      </w:rPr>
    </w:lvl>
    <w:lvl w:ilvl="1" w:tplc="72EE8864">
      <w:numFmt w:val="bullet"/>
      <w:lvlText w:val="•"/>
      <w:lvlJc w:val="left"/>
      <w:pPr>
        <w:ind w:left="1800" w:hanging="720"/>
      </w:pPr>
      <w:rPr>
        <w:rFonts w:ascii="Calibri" w:eastAsiaTheme="minorHAnsi" w:hAnsi="Calibri" w:cs="Calibri" w:hint="default"/>
      </w:rPr>
    </w:lvl>
    <w:lvl w:ilvl="2" w:tplc="DCEC0D00" w:tentative="1">
      <w:start w:val="1"/>
      <w:numFmt w:val="bullet"/>
      <w:lvlText w:val=""/>
      <w:lvlJc w:val="left"/>
      <w:pPr>
        <w:ind w:left="2160" w:hanging="360"/>
      </w:pPr>
      <w:rPr>
        <w:rFonts w:ascii="Wingdings" w:hAnsi="Wingdings" w:hint="default"/>
      </w:rPr>
    </w:lvl>
    <w:lvl w:ilvl="3" w:tplc="0B30B118" w:tentative="1">
      <w:start w:val="1"/>
      <w:numFmt w:val="bullet"/>
      <w:lvlText w:val=""/>
      <w:lvlJc w:val="left"/>
      <w:pPr>
        <w:ind w:left="2880" w:hanging="360"/>
      </w:pPr>
      <w:rPr>
        <w:rFonts w:ascii="Symbol" w:hAnsi="Symbol" w:hint="default"/>
      </w:rPr>
    </w:lvl>
    <w:lvl w:ilvl="4" w:tplc="8D8CB726" w:tentative="1">
      <w:start w:val="1"/>
      <w:numFmt w:val="bullet"/>
      <w:lvlText w:val="o"/>
      <w:lvlJc w:val="left"/>
      <w:pPr>
        <w:ind w:left="3600" w:hanging="360"/>
      </w:pPr>
      <w:rPr>
        <w:rFonts w:ascii="Courier New" w:hAnsi="Courier New" w:cs="Courier New" w:hint="default"/>
      </w:rPr>
    </w:lvl>
    <w:lvl w:ilvl="5" w:tplc="A13E5DA8" w:tentative="1">
      <w:start w:val="1"/>
      <w:numFmt w:val="bullet"/>
      <w:lvlText w:val=""/>
      <w:lvlJc w:val="left"/>
      <w:pPr>
        <w:ind w:left="4320" w:hanging="360"/>
      </w:pPr>
      <w:rPr>
        <w:rFonts w:ascii="Wingdings" w:hAnsi="Wingdings" w:hint="default"/>
      </w:rPr>
    </w:lvl>
    <w:lvl w:ilvl="6" w:tplc="649653E0" w:tentative="1">
      <w:start w:val="1"/>
      <w:numFmt w:val="bullet"/>
      <w:lvlText w:val=""/>
      <w:lvlJc w:val="left"/>
      <w:pPr>
        <w:ind w:left="5040" w:hanging="360"/>
      </w:pPr>
      <w:rPr>
        <w:rFonts w:ascii="Symbol" w:hAnsi="Symbol" w:hint="default"/>
      </w:rPr>
    </w:lvl>
    <w:lvl w:ilvl="7" w:tplc="17B023B2" w:tentative="1">
      <w:start w:val="1"/>
      <w:numFmt w:val="bullet"/>
      <w:lvlText w:val="o"/>
      <w:lvlJc w:val="left"/>
      <w:pPr>
        <w:ind w:left="5760" w:hanging="360"/>
      </w:pPr>
      <w:rPr>
        <w:rFonts w:ascii="Courier New" w:hAnsi="Courier New" w:cs="Courier New" w:hint="default"/>
      </w:rPr>
    </w:lvl>
    <w:lvl w:ilvl="8" w:tplc="B4768516" w:tentative="1">
      <w:start w:val="1"/>
      <w:numFmt w:val="bullet"/>
      <w:lvlText w:val=""/>
      <w:lvlJc w:val="left"/>
      <w:pPr>
        <w:ind w:left="6480" w:hanging="360"/>
      </w:pPr>
      <w:rPr>
        <w:rFonts w:ascii="Wingdings" w:hAnsi="Wingdings" w:hint="default"/>
      </w:rPr>
    </w:lvl>
  </w:abstractNum>
  <w:abstractNum w:abstractNumId="37" w15:restartNumberingAfterBreak="0">
    <w:nsid w:val="32DE378D"/>
    <w:multiLevelType w:val="hybridMultilevel"/>
    <w:tmpl w:val="669255CA"/>
    <w:lvl w:ilvl="0" w:tplc="AD2E6A12">
      <w:start w:val="1"/>
      <w:numFmt w:val="bullet"/>
      <w:pStyle w:val="Bullet"/>
      <w:lvlText w:val=""/>
      <w:lvlJc w:val="left"/>
      <w:pPr>
        <w:ind w:left="363" w:hanging="360"/>
      </w:pPr>
      <w:rPr>
        <w:rFonts w:ascii="Symbol" w:hAnsi="Symbol" w:hint="default"/>
      </w:rPr>
    </w:lvl>
    <w:lvl w:ilvl="1" w:tplc="D474F98E">
      <w:start w:val="1"/>
      <w:numFmt w:val="bullet"/>
      <w:pStyle w:val="Bullet-indent"/>
      <w:lvlText w:val="o"/>
      <w:lvlJc w:val="left"/>
      <w:pPr>
        <w:ind w:left="1083" w:hanging="360"/>
      </w:pPr>
      <w:rPr>
        <w:rFonts w:ascii="Courier New" w:hAnsi="Courier New" w:cs="Courier New" w:hint="default"/>
      </w:rPr>
    </w:lvl>
    <w:lvl w:ilvl="2" w:tplc="499E8E6A" w:tentative="1">
      <w:start w:val="1"/>
      <w:numFmt w:val="bullet"/>
      <w:lvlText w:val=""/>
      <w:lvlJc w:val="left"/>
      <w:pPr>
        <w:ind w:left="1803" w:hanging="360"/>
      </w:pPr>
      <w:rPr>
        <w:rFonts w:ascii="Wingdings" w:hAnsi="Wingdings" w:hint="default"/>
      </w:rPr>
    </w:lvl>
    <w:lvl w:ilvl="3" w:tplc="F09AF68C" w:tentative="1">
      <w:start w:val="1"/>
      <w:numFmt w:val="bullet"/>
      <w:lvlText w:val=""/>
      <w:lvlJc w:val="left"/>
      <w:pPr>
        <w:ind w:left="2523" w:hanging="360"/>
      </w:pPr>
      <w:rPr>
        <w:rFonts w:ascii="Symbol" w:hAnsi="Symbol" w:hint="default"/>
      </w:rPr>
    </w:lvl>
    <w:lvl w:ilvl="4" w:tplc="11BCC5DC" w:tentative="1">
      <w:start w:val="1"/>
      <w:numFmt w:val="bullet"/>
      <w:lvlText w:val="o"/>
      <w:lvlJc w:val="left"/>
      <w:pPr>
        <w:ind w:left="3243" w:hanging="360"/>
      </w:pPr>
      <w:rPr>
        <w:rFonts w:ascii="Courier New" w:hAnsi="Courier New" w:cs="Courier New" w:hint="default"/>
      </w:rPr>
    </w:lvl>
    <w:lvl w:ilvl="5" w:tplc="081694BC" w:tentative="1">
      <w:start w:val="1"/>
      <w:numFmt w:val="bullet"/>
      <w:lvlText w:val=""/>
      <w:lvlJc w:val="left"/>
      <w:pPr>
        <w:ind w:left="3963" w:hanging="360"/>
      </w:pPr>
      <w:rPr>
        <w:rFonts w:ascii="Wingdings" w:hAnsi="Wingdings" w:hint="default"/>
      </w:rPr>
    </w:lvl>
    <w:lvl w:ilvl="6" w:tplc="87DA4772" w:tentative="1">
      <w:start w:val="1"/>
      <w:numFmt w:val="bullet"/>
      <w:lvlText w:val=""/>
      <w:lvlJc w:val="left"/>
      <w:pPr>
        <w:ind w:left="4683" w:hanging="360"/>
      </w:pPr>
      <w:rPr>
        <w:rFonts w:ascii="Symbol" w:hAnsi="Symbol" w:hint="default"/>
      </w:rPr>
    </w:lvl>
    <w:lvl w:ilvl="7" w:tplc="330A78DC" w:tentative="1">
      <w:start w:val="1"/>
      <w:numFmt w:val="bullet"/>
      <w:lvlText w:val="o"/>
      <w:lvlJc w:val="left"/>
      <w:pPr>
        <w:ind w:left="5403" w:hanging="360"/>
      </w:pPr>
      <w:rPr>
        <w:rFonts w:ascii="Courier New" w:hAnsi="Courier New" w:cs="Courier New" w:hint="default"/>
      </w:rPr>
    </w:lvl>
    <w:lvl w:ilvl="8" w:tplc="27F09D58" w:tentative="1">
      <w:start w:val="1"/>
      <w:numFmt w:val="bullet"/>
      <w:lvlText w:val=""/>
      <w:lvlJc w:val="left"/>
      <w:pPr>
        <w:ind w:left="6123" w:hanging="360"/>
      </w:pPr>
      <w:rPr>
        <w:rFonts w:ascii="Wingdings" w:hAnsi="Wingdings" w:hint="default"/>
      </w:rPr>
    </w:lvl>
  </w:abstractNum>
  <w:abstractNum w:abstractNumId="38" w15:restartNumberingAfterBreak="0">
    <w:nsid w:val="35AE0734"/>
    <w:multiLevelType w:val="multilevel"/>
    <w:tmpl w:val="AF0A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6982044"/>
    <w:multiLevelType w:val="multilevel"/>
    <w:tmpl w:val="F9B41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36BA4EE3"/>
    <w:multiLevelType w:val="hybridMultilevel"/>
    <w:tmpl w:val="33C8CEA2"/>
    <w:lvl w:ilvl="0" w:tplc="4B00ACE0">
      <w:start w:val="1"/>
      <w:numFmt w:val="bullet"/>
      <w:lvlText w:val=""/>
      <w:lvlJc w:val="left"/>
      <w:pPr>
        <w:ind w:left="1995" w:hanging="360"/>
      </w:pPr>
      <w:rPr>
        <w:rFonts w:ascii="Symbol" w:hAnsi="Symbol" w:hint="default"/>
      </w:rPr>
    </w:lvl>
    <w:lvl w:ilvl="1" w:tplc="7784A742" w:tentative="1">
      <w:start w:val="1"/>
      <w:numFmt w:val="bullet"/>
      <w:lvlText w:val="o"/>
      <w:lvlJc w:val="left"/>
      <w:pPr>
        <w:ind w:left="2715" w:hanging="360"/>
      </w:pPr>
      <w:rPr>
        <w:rFonts w:ascii="Courier New" w:hAnsi="Courier New" w:cs="Courier New" w:hint="default"/>
      </w:rPr>
    </w:lvl>
    <w:lvl w:ilvl="2" w:tplc="2730EA0E" w:tentative="1">
      <w:start w:val="1"/>
      <w:numFmt w:val="bullet"/>
      <w:lvlText w:val=""/>
      <w:lvlJc w:val="left"/>
      <w:pPr>
        <w:ind w:left="3435" w:hanging="360"/>
      </w:pPr>
      <w:rPr>
        <w:rFonts w:ascii="Wingdings" w:hAnsi="Wingdings" w:hint="default"/>
      </w:rPr>
    </w:lvl>
    <w:lvl w:ilvl="3" w:tplc="B85C2968" w:tentative="1">
      <w:start w:val="1"/>
      <w:numFmt w:val="bullet"/>
      <w:lvlText w:val=""/>
      <w:lvlJc w:val="left"/>
      <w:pPr>
        <w:ind w:left="4155" w:hanging="360"/>
      </w:pPr>
      <w:rPr>
        <w:rFonts w:ascii="Symbol" w:hAnsi="Symbol" w:hint="default"/>
      </w:rPr>
    </w:lvl>
    <w:lvl w:ilvl="4" w:tplc="EC7CDCB0" w:tentative="1">
      <w:start w:val="1"/>
      <w:numFmt w:val="bullet"/>
      <w:lvlText w:val="o"/>
      <w:lvlJc w:val="left"/>
      <w:pPr>
        <w:ind w:left="4875" w:hanging="360"/>
      </w:pPr>
      <w:rPr>
        <w:rFonts w:ascii="Courier New" w:hAnsi="Courier New" w:cs="Courier New" w:hint="default"/>
      </w:rPr>
    </w:lvl>
    <w:lvl w:ilvl="5" w:tplc="04186A4E" w:tentative="1">
      <w:start w:val="1"/>
      <w:numFmt w:val="bullet"/>
      <w:lvlText w:val=""/>
      <w:lvlJc w:val="left"/>
      <w:pPr>
        <w:ind w:left="5595" w:hanging="360"/>
      </w:pPr>
      <w:rPr>
        <w:rFonts w:ascii="Wingdings" w:hAnsi="Wingdings" w:hint="default"/>
      </w:rPr>
    </w:lvl>
    <w:lvl w:ilvl="6" w:tplc="CE88B176" w:tentative="1">
      <w:start w:val="1"/>
      <w:numFmt w:val="bullet"/>
      <w:lvlText w:val=""/>
      <w:lvlJc w:val="left"/>
      <w:pPr>
        <w:ind w:left="6315" w:hanging="360"/>
      </w:pPr>
      <w:rPr>
        <w:rFonts w:ascii="Symbol" w:hAnsi="Symbol" w:hint="default"/>
      </w:rPr>
    </w:lvl>
    <w:lvl w:ilvl="7" w:tplc="914457D6" w:tentative="1">
      <w:start w:val="1"/>
      <w:numFmt w:val="bullet"/>
      <w:lvlText w:val="o"/>
      <w:lvlJc w:val="left"/>
      <w:pPr>
        <w:ind w:left="7035" w:hanging="360"/>
      </w:pPr>
      <w:rPr>
        <w:rFonts w:ascii="Courier New" w:hAnsi="Courier New" w:cs="Courier New" w:hint="default"/>
      </w:rPr>
    </w:lvl>
    <w:lvl w:ilvl="8" w:tplc="1410FFA0" w:tentative="1">
      <w:start w:val="1"/>
      <w:numFmt w:val="bullet"/>
      <w:lvlText w:val=""/>
      <w:lvlJc w:val="left"/>
      <w:pPr>
        <w:ind w:left="7755" w:hanging="360"/>
      </w:pPr>
      <w:rPr>
        <w:rFonts w:ascii="Wingdings" w:hAnsi="Wingdings" w:hint="default"/>
      </w:rPr>
    </w:lvl>
  </w:abstractNum>
  <w:abstractNum w:abstractNumId="41" w15:restartNumberingAfterBreak="0">
    <w:nsid w:val="39A51DC5"/>
    <w:multiLevelType w:val="hybridMultilevel"/>
    <w:tmpl w:val="6E286776"/>
    <w:lvl w:ilvl="0" w:tplc="46A20D5A">
      <w:start w:val="1"/>
      <w:numFmt w:val="bullet"/>
      <w:lvlText w:val=""/>
      <w:lvlJc w:val="left"/>
      <w:pPr>
        <w:ind w:left="720" w:hanging="360"/>
      </w:pPr>
      <w:rPr>
        <w:rFonts w:ascii="Symbol" w:hAnsi="Symbol" w:hint="default"/>
      </w:rPr>
    </w:lvl>
    <w:lvl w:ilvl="1" w:tplc="8E445F00" w:tentative="1">
      <w:start w:val="1"/>
      <w:numFmt w:val="bullet"/>
      <w:lvlText w:val="o"/>
      <w:lvlJc w:val="left"/>
      <w:pPr>
        <w:ind w:left="1440" w:hanging="360"/>
      </w:pPr>
      <w:rPr>
        <w:rFonts w:ascii="Courier New" w:hAnsi="Courier New" w:cs="Courier New" w:hint="default"/>
      </w:rPr>
    </w:lvl>
    <w:lvl w:ilvl="2" w:tplc="0106AFBA" w:tentative="1">
      <w:start w:val="1"/>
      <w:numFmt w:val="bullet"/>
      <w:lvlText w:val=""/>
      <w:lvlJc w:val="left"/>
      <w:pPr>
        <w:ind w:left="2160" w:hanging="360"/>
      </w:pPr>
      <w:rPr>
        <w:rFonts w:ascii="Wingdings" w:hAnsi="Wingdings" w:hint="default"/>
      </w:rPr>
    </w:lvl>
    <w:lvl w:ilvl="3" w:tplc="089471C4" w:tentative="1">
      <w:start w:val="1"/>
      <w:numFmt w:val="bullet"/>
      <w:lvlText w:val=""/>
      <w:lvlJc w:val="left"/>
      <w:pPr>
        <w:ind w:left="2880" w:hanging="360"/>
      </w:pPr>
      <w:rPr>
        <w:rFonts w:ascii="Symbol" w:hAnsi="Symbol" w:hint="default"/>
      </w:rPr>
    </w:lvl>
    <w:lvl w:ilvl="4" w:tplc="D138CAE2" w:tentative="1">
      <w:start w:val="1"/>
      <w:numFmt w:val="bullet"/>
      <w:lvlText w:val="o"/>
      <w:lvlJc w:val="left"/>
      <w:pPr>
        <w:ind w:left="3600" w:hanging="360"/>
      </w:pPr>
      <w:rPr>
        <w:rFonts w:ascii="Courier New" w:hAnsi="Courier New" w:cs="Courier New" w:hint="default"/>
      </w:rPr>
    </w:lvl>
    <w:lvl w:ilvl="5" w:tplc="FBFA5D56" w:tentative="1">
      <w:start w:val="1"/>
      <w:numFmt w:val="bullet"/>
      <w:lvlText w:val=""/>
      <w:lvlJc w:val="left"/>
      <w:pPr>
        <w:ind w:left="4320" w:hanging="360"/>
      </w:pPr>
      <w:rPr>
        <w:rFonts w:ascii="Wingdings" w:hAnsi="Wingdings" w:hint="default"/>
      </w:rPr>
    </w:lvl>
    <w:lvl w:ilvl="6" w:tplc="0776864A" w:tentative="1">
      <w:start w:val="1"/>
      <w:numFmt w:val="bullet"/>
      <w:lvlText w:val=""/>
      <w:lvlJc w:val="left"/>
      <w:pPr>
        <w:ind w:left="5040" w:hanging="360"/>
      </w:pPr>
      <w:rPr>
        <w:rFonts w:ascii="Symbol" w:hAnsi="Symbol" w:hint="default"/>
      </w:rPr>
    </w:lvl>
    <w:lvl w:ilvl="7" w:tplc="66EAACA8" w:tentative="1">
      <w:start w:val="1"/>
      <w:numFmt w:val="bullet"/>
      <w:lvlText w:val="o"/>
      <w:lvlJc w:val="left"/>
      <w:pPr>
        <w:ind w:left="5760" w:hanging="360"/>
      </w:pPr>
      <w:rPr>
        <w:rFonts w:ascii="Courier New" w:hAnsi="Courier New" w:cs="Courier New" w:hint="default"/>
      </w:rPr>
    </w:lvl>
    <w:lvl w:ilvl="8" w:tplc="406A95AA" w:tentative="1">
      <w:start w:val="1"/>
      <w:numFmt w:val="bullet"/>
      <w:lvlText w:val=""/>
      <w:lvlJc w:val="left"/>
      <w:pPr>
        <w:ind w:left="6480" w:hanging="360"/>
      </w:pPr>
      <w:rPr>
        <w:rFonts w:ascii="Wingdings" w:hAnsi="Wingdings" w:hint="default"/>
      </w:rPr>
    </w:lvl>
  </w:abstractNum>
  <w:abstractNum w:abstractNumId="42" w15:restartNumberingAfterBreak="0">
    <w:nsid w:val="3A144AC1"/>
    <w:multiLevelType w:val="multilevel"/>
    <w:tmpl w:val="1ADA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DF34A72"/>
    <w:multiLevelType w:val="hybridMultilevel"/>
    <w:tmpl w:val="7BB2C166"/>
    <w:lvl w:ilvl="0" w:tplc="B6A6A624">
      <w:start w:val="1"/>
      <w:numFmt w:val="bullet"/>
      <w:lvlText w:val=""/>
      <w:lvlJc w:val="left"/>
      <w:pPr>
        <w:ind w:left="720" w:hanging="360"/>
      </w:pPr>
      <w:rPr>
        <w:rFonts w:ascii="Symbol" w:hAnsi="Symbol" w:hint="default"/>
      </w:rPr>
    </w:lvl>
    <w:lvl w:ilvl="1" w:tplc="5BDC62DC" w:tentative="1">
      <w:start w:val="1"/>
      <w:numFmt w:val="bullet"/>
      <w:lvlText w:val="o"/>
      <w:lvlJc w:val="left"/>
      <w:pPr>
        <w:ind w:left="1440" w:hanging="360"/>
      </w:pPr>
      <w:rPr>
        <w:rFonts w:ascii="Courier New" w:hAnsi="Courier New" w:cs="Courier New" w:hint="default"/>
      </w:rPr>
    </w:lvl>
    <w:lvl w:ilvl="2" w:tplc="14DA2FFA" w:tentative="1">
      <w:start w:val="1"/>
      <w:numFmt w:val="bullet"/>
      <w:lvlText w:val=""/>
      <w:lvlJc w:val="left"/>
      <w:pPr>
        <w:ind w:left="2160" w:hanging="360"/>
      </w:pPr>
      <w:rPr>
        <w:rFonts w:ascii="Wingdings" w:hAnsi="Wingdings" w:hint="default"/>
      </w:rPr>
    </w:lvl>
    <w:lvl w:ilvl="3" w:tplc="FE06EAD8" w:tentative="1">
      <w:start w:val="1"/>
      <w:numFmt w:val="bullet"/>
      <w:lvlText w:val=""/>
      <w:lvlJc w:val="left"/>
      <w:pPr>
        <w:ind w:left="2880" w:hanging="360"/>
      </w:pPr>
      <w:rPr>
        <w:rFonts w:ascii="Symbol" w:hAnsi="Symbol" w:hint="default"/>
      </w:rPr>
    </w:lvl>
    <w:lvl w:ilvl="4" w:tplc="F4D8C60C" w:tentative="1">
      <w:start w:val="1"/>
      <w:numFmt w:val="bullet"/>
      <w:lvlText w:val="o"/>
      <w:lvlJc w:val="left"/>
      <w:pPr>
        <w:ind w:left="3600" w:hanging="360"/>
      </w:pPr>
      <w:rPr>
        <w:rFonts w:ascii="Courier New" w:hAnsi="Courier New" w:cs="Courier New" w:hint="default"/>
      </w:rPr>
    </w:lvl>
    <w:lvl w:ilvl="5" w:tplc="4478063C" w:tentative="1">
      <w:start w:val="1"/>
      <w:numFmt w:val="bullet"/>
      <w:lvlText w:val=""/>
      <w:lvlJc w:val="left"/>
      <w:pPr>
        <w:ind w:left="4320" w:hanging="360"/>
      </w:pPr>
      <w:rPr>
        <w:rFonts w:ascii="Wingdings" w:hAnsi="Wingdings" w:hint="default"/>
      </w:rPr>
    </w:lvl>
    <w:lvl w:ilvl="6" w:tplc="88800DBA" w:tentative="1">
      <w:start w:val="1"/>
      <w:numFmt w:val="bullet"/>
      <w:lvlText w:val=""/>
      <w:lvlJc w:val="left"/>
      <w:pPr>
        <w:ind w:left="5040" w:hanging="360"/>
      </w:pPr>
      <w:rPr>
        <w:rFonts w:ascii="Symbol" w:hAnsi="Symbol" w:hint="default"/>
      </w:rPr>
    </w:lvl>
    <w:lvl w:ilvl="7" w:tplc="1BC499BC" w:tentative="1">
      <w:start w:val="1"/>
      <w:numFmt w:val="bullet"/>
      <w:lvlText w:val="o"/>
      <w:lvlJc w:val="left"/>
      <w:pPr>
        <w:ind w:left="5760" w:hanging="360"/>
      </w:pPr>
      <w:rPr>
        <w:rFonts w:ascii="Courier New" w:hAnsi="Courier New" w:cs="Courier New" w:hint="default"/>
      </w:rPr>
    </w:lvl>
    <w:lvl w:ilvl="8" w:tplc="2A58EBF2" w:tentative="1">
      <w:start w:val="1"/>
      <w:numFmt w:val="bullet"/>
      <w:lvlText w:val=""/>
      <w:lvlJc w:val="left"/>
      <w:pPr>
        <w:ind w:left="6480" w:hanging="360"/>
      </w:pPr>
      <w:rPr>
        <w:rFonts w:ascii="Wingdings" w:hAnsi="Wingdings" w:hint="default"/>
      </w:rPr>
    </w:lvl>
  </w:abstractNum>
  <w:abstractNum w:abstractNumId="44" w15:restartNumberingAfterBreak="0">
    <w:nsid w:val="41324E0E"/>
    <w:multiLevelType w:val="hybridMultilevel"/>
    <w:tmpl w:val="4C2EEEDE"/>
    <w:lvl w:ilvl="0" w:tplc="AA96DBD6">
      <w:start w:val="1"/>
      <w:numFmt w:val="bullet"/>
      <w:lvlText w:val=""/>
      <w:lvlJc w:val="left"/>
      <w:pPr>
        <w:ind w:left="780" w:hanging="360"/>
      </w:pPr>
      <w:rPr>
        <w:rFonts w:ascii="Symbol" w:hAnsi="Symbol" w:hint="default"/>
      </w:rPr>
    </w:lvl>
    <w:lvl w:ilvl="1" w:tplc="4FDE67DA" w:tentative="1">
      <w:start w:val="1"/>
      <w:numFmt w:val="bullet"/>
      <w:lvlText w:val="o"/>
      <w:lvlJc w:val="left"/>
      <w:pPr>
        <w:ind w:left="1500" w:hanging="360"/>
      </w:pPr>
      <w:rPr>
        <w:rFonts w:ascii="Courier New" w:hAnsi="Courier New" w:cs="Courier New" w:hint="default"/>
      </w:rPr>
    </w:lvl>
    <w:lvl w:ilvl="2" w:tplc="AF0C1522" w:tentative="1">
      <w:start w:val="1"/>
      <w:numFmt w:val="bullet"/>
      <w:lvlText w:val=""/>
      <w:lvlJc w:val="left"/>
      <w:pPr>
        <w:ind w:left="2220" w:hanging="360"/>
      </w:pPr>
      <w:rPr>
        <w:rFonts w:ascii="Wingdings" w:hAnsi="Wingdings" w:hint="default"/>
      </w:rPr>
    </w:lvl>
    <w:lvl w:ilvl="3" w:tplc="05525CD0" w:tentative="1">
      <w:start w:val="1"/>
      <w:numFmt w:val="bullet"/>
      <w:lvlText w:val=""/>
      <w:lvlJc w:val="left"/>
      <w:pPr>
        <w:ind w:left="2940" w:hanging="360"/>
      </w:pPr>
      <w:rPr>
        <w:rFonts w:ascii="Symbol" w:hAnsi="Symbol" w:hint="default"/>
      </w:rPr>
    </w:lvl>
    <w:lvl w:ilvl="4" w:tplc="268E84CA" w:tentative="1">
      <w:start w:val="1"/>
      <w:numFmt w:val="bullet"/>
      <w:lvlText w:val="o"/>
      <w:lvlJc w:val="left"/>
      <w:pPr>
        <w:ind w:left="3660" w:hanging="360"/>
      </w:pPr>
      <w:rPr>
        <w:rFonts w:ascii="Courier New" w:hAnsi="Courier New" w:cs="Courier New" w:hint="default"/>
      </w:rPr>
    </w:lvl>
    <w:lvl w:ilvl="5" w:tplc="A2C2984E" w:tentative="1">
      <w:start w:val="1"/>
      <w:numFmt w:val="bullet"/>
      <w:lvlText w:val=""/>
      <w:lvlJc w:val="left"/>
      <w:pPr>
        <w:ind w:left="4380" w:hanging="360"/>
      </w:pPr>
      <w:rPr>
        <w:rFonts w:ascii="Wingdings" w:hAnsi="Wingdings" w:hint="default"/>
      </w:rPr>
    </w:lvl>
    <w:lvl w:ilvl="6" w:tplc="5888AEC4" w:tentative="1">
      <w:start w:val="1"/>
      <w:numFmt w:val="bullet"/>
      <w:lvlText w:val=""/>
      <w:lvlJc w:val="left"/>
      <w:pPr>
        <w:ind w:left="5100" w:hanging="360"/>
      </w:pPr>
      <w:rPr>
        <w:rFonts w:ascii="Symbol" w:hAnsi="Symbol" w:hint="default"/>
      </w:rPr>
    </w:lvl>
    <w:lvl w:ilvl="7" w:tplc="4A88BFF8" w:tentative="1">
      <w:start w:val="1"/>
      <w:numFmt w:val="bullet"/>
      <w:lvlText w:val="o"/>
      <w:lvlJc w:val="left"/>
      <w:pPr>
        <w:ind w:left="5820" w:hanging="360"/>
      </w:pPr>
      <w:rPr>
        <w:rFonts w:ascii="Courier New" w:hAnsi="Courier New" w:cs="Courier New" w:hint="default"/>
      </w:rPr>
    </w:lvl>
    <w:lvl w:ilvl="8" w:tplc="1ECCCED8" w:tentative="1">
      <w:start w:val="1"/>
      <w:numFmt w:val="bullet"/>
      <w:lvlText w:val=""/>
      <w:lvlJc w:val="left"/>
      <w:pPr>
        <w:ind w:left="6540" w:hanging="360"/>
      </w:pPr>
      <w:rPr>
        <w:rFonts w:ascii="Wingdings" w:hAnsi="Wingdings" w:hint="default"/>
      </w:rPr>
    </w:lvl>
  </w:abstractNum>
  <w:abstractNum w:abstractNumId="45" w15:restartNumberingAfterBreak="0">
    <w:nsid w:val="420860A3"/>
    <w:multiLevelType w:val="hybridMultilevel"/>
    <w:tmpl w:val="2DF6A548"/>
    <w:lvl w:ilvl="0" w:tplc="A5425DB8">
      <w:start w:val="1"/>
      <w:numFmt w:val="decimal"/>
      <w:pStyle w:val="Heading2-numbered"/>
      <w:lvlText w:val="%1."/>
      <w:lvlJc w:val="left"/>
      <w:pPr>
        <w:ind w:left="360" w:hanging="360"/>
      </w:pPr>
    </w:lvl>
    <w:lvl w:ilvl="1" w:tplc="CCFA423E" w:tentative="1">
      <w:start w:val="1"/>
      <w:numFmt w:val="lowerLetter"/>
      <w:lvlText w:val="%2."/>
      <w:lvlJc w:val="left"/>
      <w:pPr>
        <w:ind w:left="1080" w:hanging="360"/>
      </w:pPr>
    </w:lvl>
    <w:lvl w:ilvl="2" w:tplc="8ECEE880" w:tentative="1">
      <w:start w:val="1"/>
      <w:numFmt w:val="lowerRoman"/>
      <w:lvlText w:val="%3."/>
      <w:lvlJc w:val="right"/>
      <w:pPr>
        <w:ind w:left="1800" w:hanging="180"/>
      </w:pPr>
    </w:lvl>
    <w:lvl w:ilvl="3" w:tplc="3178575C" w:tentative="1">
      <w:start w:val="1"/>
      <w:numFmt w:val="decimal"/>
      <w:lvlText w:val="%4."/>
      <w:lvlJc w:val="left"/>
      <w:pPr>
        <w:ind w:left="2520" w:hanging="360"/>
      </w:pPr>
    </w:lvl>
    <w:lvl w:ilvl="4" w:tplc="F02680AE" w:tentative="1">
      <w:start w:val="1"/>
      <w:numFmt w:val="lowerLetter"/>
      <w:lvlText w:val="%5."/>
      <w:lvlJc w:val="left"/>
      <w:pPr>
        <w:ind w:left="3240" w:hanging="360"/>
      </w:pPr>
    </w:lvl>
    <w:lvl w:ilvl="5" w:tplc="13E6B06E" w:tentative="1">
      <w:start w:val="1"/>
      <w:numFmt w:val="lowerRoman"/>
      <w:lvlText w:val="%6."/>
      <w:lvlJc w:val="right"/>
      <w:pPr>
        <w:ind w:left="3960" w:hanging="180"/>
      </w:pPr>
    </w:lvl>
    <w:lvl w:ilvl="6" w:tplc="FB1AC318" w:tentative="1">
      <w:start w:val="1"/>
      <w:numFmt w:val="decimal"/>
      <w:lvlText w:val="%7."/>
      <w:lvlJc w:val="left"/>
      <w:pPr>
        <w:ind w:left="4680" w:hanging="360"/>
      </w:pPr>
    </w:lvl>
    <w:lvl w:ilvl="7" w:tplc="2AB8627A" w:tentative="1">
      <w:start w:val="1"/>
      <w:numFmt w:val="lowerLetter"/>
      <w:lvlText w:val="%8."/>
      <w:lvlJc w:val="left"/>
      <w:pPr>
        <w:ind w:left="5400" w:hanging="360"/>
      </w:pPr>
    </w:lvl>
    <w:lvl w:ilvl="8" w:tplc="775A180E" w:tentative="1">
      <w:start w:val="1"/>
      <w:numFmt w:val="lowerRoman"/>
      <w:lvlText w:val="%9."/>
      <w:lvlJc w:val="right"/>
      <w:pPr>
        <w:ind w:left="6120" w:hanging="180"/>
      </w:pPr>
    </w:lvl>
  </w:abstractNum>
  <w:abstractNum w:abstractNumId="46" w15:restartNumberingAfterBreak="0">
    <w:nsid w:val="46A622FB"/>
    <w:multiLevelType w:val="multilevel"/>
    <w:tmpl w:val="85BAD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5506C5"/>
    <w:multiLevelType w:val="multilevel"/>
    <w:tmpl w:val="A4B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B98529F"/>
    <w:multiLevelType w:val="hybridMultilevel"/>
    <w:tmpl w:val="BD4A7750"/>
    <w:lvl w:ilvl="0" w:tplc="DD0A71F2">
      <w:start w:val="1"/>
      <w:numFmt w:val="lowerLetter"/>
      <w:lvlText w:val="%1."/>
      <w:lvlJc w:val="left"/>
      <w:pPr>
        <w:ind w:left="720" w:hanging="360"/>
      </w:pPr>
    </w:lvl>
    <w:lvl w:ilvl="1" w:tplc="B4DA84E6">
      <w:start w:val="1"/>
      <w:numFmt w:val="lowerLetter"/>
      <w:lvlText w:val="%2."/>
      <w:lvlJc w:val="left"/>
      <w:pPr>
        <w:ind w:left="1440" w:hanging="360"/>
      </w:pPr>
    </w:lvl>
    <w:lvl w:ilvl="2" w:tplc="DC88FD22">
      <w:start w:val="1"/>
      <w:numFmt w:val="lowerRoman"/>
      <w:lvlText w:val="%3."/>
      <w:lvlJc w:val="right"/>
      <w:pPr>
        <w:ind w:left="2160" w:hanging="180"/>
      </w:pPr>
    </w:lvl>
    <w:lvl w:ilvl="3" w:tplc="AC86180A">
      <w:start w:val="1"/>
      <w:numFmt w:val="decimal"/>
      <w:lvlText w:val="%4."/>
      <w:lvlJc w:val="left"/>
      <w:pPr>
        <w:ind w:left="2880" w:hanging="360"/>
      </w:pPr>
    </w:lvl>
    <w:lvl w:ilvl="4" w:tplc="808E5302">
      <w:start w:val="1"/>
      <w:numFmt w:val="lowerLetter"/>
      <w:lvlText w:val="%5."/>
      <w:lvlJc w:val="left"/>
      <w:pPr>
        <w:ind w:left="3600" w:hanging="360"/>
      </w:pPr>
    </w:lvl>
    <w:lvl w:ilvl="5" w:tplc="C83062C6">
      <w:start w:val="1"/>
      <w:numFmt w:val="lowerRoman"/>
      <w:lvlText w:val="%6."/>
      <w:lvlJc w:val="right"/>
      <w:pPr>
        <w:ind w:left="4320" w:hanging="180"/>
      </w:pPr>
    </w:lvl>
    <w:lvl w:ilvl="6" w:tplc="C0E45F0C">
      <w:start w:val="1"/>
      <w:numFmt w:val="decimal"/>
      <w:lvlText w:val="%7."/>
      <w:lvlJc w:val="left"/>
      <w:pPr>
        <w:ind w:left="5040" w:hanging="360"/>
      </w:pPr>
    </w:lvl>
    <w:lvl w:ilvl="7" w:tplc="A582DC1A">
      <w:start w:val="1"/>
      <w:numFmt w:val="lowerLetter"/>
      <w:lvlText w:val="%8."/>
      <w:lvlJc w:val="left"/>
      <w:pPr>
        <w:ind w:left="5760" w:hanging="360"/>
      </w:pPr>
    </w:lvl>
    <w:lvl w:ilvl="8" w:tplc="602E3E9A">
      <w:start w:val="1"/>
      <w:numFmt w:val="lowerRoman"/>
      <w:lvlText w:val="%9."/>
      <w:lvlJc w:val="right"/>
      <w:pPr>
        <w:ind w:left="6480" w:hanging="180"/>
      </w:pPr>
    </w:lvl>
  </w:abstractNum>
  <w:abstractNum w:abstractNumId="49" w15:restartNumberingAfterBreak="0">
    <w:nsid w:val="4C7142B5"/>
    <w:multiLevelType w:val="multilevel"/>
    <w:tmpl w:val="AAAAD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4E9E37F6"/>
    <w:multiLevelType w:val="hybridMultilevel"/>
    <w:tmpl w:val="DE04D486"/>
    <w:lvl w:ilvl="0" w:tplc="719CE74E">
      <w:start w:val="1"/>
      <w:numFmt w:val="decimal"/>
      <w:lvlText w:val="%1."/>
      <w:lvlJc w:val="left"/>
      <w:pPr>
        <w:ind w:left="360" w:hanging="360"/>
      </w:pPr>
      <w:rPr>
        <w:rFonts w:hint="default"/>
      </w:rPr>
    </w:lvl>
    <w:lvl w:ilvl="1" w:tplc="1CFC4EAE" w:tentative="1">
      <w:start w:val="1"/>
      <w:numFmt w:val="lowerLetter"/>
      <w:lvlText w:val="%2."/>
      <w:lvlJc w:val="left"/>
      <w:pPr>
        <w:ind w:left="1080" w:hanging="360"/>
      </w:pPr>
    </w:lvl>
    <w:lvl w:ilvl="2" w:tplc="CAAE1B4E" w:tentative="1">
      <w:start w:val="1"/>
      <w:numFmt w:val="lowerRoman"/>
      <w:lvlText w:val="%3."/>
      <w:lvlJc w:val="right"/>
      <w:pPr>
        <w:ind w:left="1800" w:hanging="180"/>
      </w:pPr>
    </w:lvl>
    <w:lvl w:ilvl="3" w:tplc="D960C714" w:tentative="1">
      <w:start w:val="1"/>
      <w:numFmt w:val="decimal"/>
      <w:lvlText w:val="%4."/>
      <w:lvlJc w:val="left"/>
      <w:pPr>
        <w:ind w:left="2520" w:hanging="360"/>
      </w:pPr>
    </w:lvl>
    <w:lvl w:ilvl="4" w:tplc="D8F81CBC" w:tentative="1">
      <w:start w:val="1"/>
      <w:numFmt w:val="lowerLetter"/>
      <w:lvlText w:val="%5."/>
      <w:lvlJc w:val="left"/>
      <w:pPr>
        <w:ind w:left="3240" w:hanging="360"/>
      </w:pPr>
    </w:lvl>
    <w:lvl w:ilvl="5" w:tplc="A6081AAE" w:tentative="1">
      <w:start w:val="1"/>
      <w:numFmt w:val="lowerRoman"/>
      <w:lvlText w:val="%6."/>
      <w:lvlJc w:val="right"/>
      <w:pPr>
        <w:ind w:left="3960" w:hanging="180"/>
      </w:pPr>
    </w:lvl>
    <w:lvl w:ilvl="6" w:tplc="F3AEEE04" w:tentative="1">
      <w:start w:val="1"/>
      <w:numFmt w:val="decimal"/>
      <w:lvlText w:val="%7."/>
      <w:lvlJc w:val="left"/>
      <w:pPr>
        <w:ind w:left="4680" w:hanging="360"/>
      </w:pPr>
    </w:lvl>
    <w:lvl w:ilvl="7" w:tplc="C7DE100E" w:tentative="1">
      <w:start w:val="1"/>
      <w:numFmt w:val="lowerLetter"/>
      <w:lvlText w:val="%8."/>
      <w:lvlJc w:val="left"/>
      <w:pPr>
        <w:ind w:left="5400" w:hanging="360"/>
      </w:pPr>
    </w:lvl>
    <w:lvl w:ilvl="8" w:tplc="3940AF3C" w:tentative="1">
      <w:start w:val="1"/>
      <w:numFmt w:val="lowerRoman"/>
      <w:lvlText w:val="%9."/>
      <w:lvlJc w:val="right"/>
      <w:pPr>
        <w:ind w:left="6120" w:hanging="180"/>
      </w:pPr>
    </w:lvl>
  </w:abstractNum>
  <w:abstractNum w:abstractNumId="51" w15:restartNumberingAfterBreak="0">
    <w:nsid w:val="52F83A49"/>
    <w:multiLevelType w:val="multilevel"/>
    <w:tmpl w:val="88DE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3871CF0"/>
    <w:multiLevelType w:val="multilevel"/>
    <w:tmpl w:val="D0B2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4A931D7"/>
    <w:multiLevelType w:val="hybridMultilevel"/>
    <w:tmpl w:val="EFE247A8"/>
    <w:lvl w:ilvl="0" w:tplc="EC40FF5A">
      <w:start w:val="1"/>
      <w:numFmt w:val="bullet"/>
      <w:lvlText w:val=""/>
      <w:lvlJc w:val="left"/>
      <w:pPr>
        <w:ind w:left="720" w:hanging="360"/>
      </w:pPr>
      <w:rPr>
        <w:rFonts w:ascii="Symbol" w:hAnsi="Symbol" w:hint="default"/>
      </w:rPr>
    </w:lvl>
    <w:lvl w:ilvl="1" w:tplc="C7DE37F0" w:tentative="1">
      <w:start w:val="1"/>
      <w:numFmt w:val="bullet"/>
      <w:lvlText w:val="o"/>
      <w:lvlJc w:val="left"/>
      <w:pPr>
        <w:ind w:left="1440" w:hanging="360"/>
      </w:pPr>
      <w:rPr>
        <w:rFonts w:ascii="Courier New" w:hAnsi="Courier New" w:cs="Courier New" w:hint="default"/>
      </w:rPr>
    </w:lvl>
    <w:lvl w:ilvl="2" w:tplc="64A69902" w:tentative="1">
      <w:start w:val="1"/>
      <w:numFmt w:val="bullet"/>
      <w:lvlText w:val=""/>
      <w:lvlJc w:val="left"/>
      <w:pPr>
        <w:ind w:left="2160" w:hanging="360"/>
      </w:pPr>
      <w:rPr>
        <w:rFonts w:ascii="Wingdings" w:hAnsi="Wingdings" w:hint="default"/>
      </w:rPr>
    </w:lvl>
    <w:lvl w:ilvl="3" w:tplc="49AA8F5A" w:tentative="1">
      <w:start w:val="1"/>
      <w:numFmt w:val="bullet"/>
      <w:lvlText w:val=""/>
      <w:lvlJc w:val="left"/>
      <w:pPr>
        <w:ind w:left="2880" w:hanging="360"/>
      </w:pPr>
      <w:rPr>
        <w:rFonts w:ascii="Symbol" w:hAnsi="Symbol" w:hint="default"/>
      </w:rPr>
    </w:lvl>
    <w:lvl w:ilvl="4" w:tplc="0BAE514E" w:tentative="1">
      <w:start w:val="1"/>
      <w:numFmt w:val="bullet"/>
      <w:lvlText w:val="o"/>
      <w:lvlJc w:val="left"/>
      <w:pPr>
        <w:ind w:left="3600" w:hanging="360"/>
      </w:pPr>
      <w:rPr>
        <w:rFonts w:ascii="Courier New" w:hAnsi="Courier New" w:cs="Courier New" w:hint="default"/>
      </w:rPr>
    </w:lvl>
    <w:lvl w:ilvl="5" w:tplc="6CCC5E1A" w:tentative="1">
      <w:start w:val="1"/>
      <w:numFmt w:val="bullet"/>
      <w:lvlText w:val=""/>
      <w:lvlJc w:val="left"/>
      <w:pPr>
        <w:ind w:left="4320" w:hanging="360"/>
      </w:pPr>
      <w:rPr>
        <w:rFonts w:ascii="Wingdings" w:hAnsi="Wingdings" w:hint="default"/>
      </w:rPr>
    </w:lvl>
    <w:lvl w:ilvl="6" w:tplc="5F12C398" w:tentative="1">
      <w:start w:val="1"/>
      <w:numFmt w:val="bullet"/>
      <w:lvlText w:val=""/>
      <w:lvlJc w:val="left"/>
      <w:pPr>
        <w:ind w:left="5040" w:hanging="360"/>
      </w:pPr>
      <w:rPr>
        <w:rFonts w:ascii="Symbol" w:hAnsi="Symbol" w:hint="default"/>
      </w:rPr>
    </w:lvl>
    <w:lvl w:ilvl="7" w:tplc="3224EB4E" w:tentative="1">
      <w:start w:val="1"/>
      <w:numFmt w:val="bullet"/>
      <w:lvlText w:val="o"/>
      <w:lvlJc w:val="left"/>
      <w:pPr>
        <w:ind w:left="5760" w:hanging="360"/>
      </w:pPr>
      <w:rPr>
        <w:rFonts w:ascii="Courier New" w:hAnsi="Courier New" w:cs="Courier New" w:hint="default"/>
      </w:rPr>
    </w:lvl>
    <w:lvl w:ilvl="8" w:tplc="9DD8D866" w:tentative="1">
      <w:start w:val="1"/>
      <w:numFmt w:val="bullet"/>
      <w:lvlText w:val=""/>
      <w:lvlJc w:val="left"/>
      <w:pPr>
        <w:ind w:left="6480" w:hanging="360"/>
      </w:pPr>
      <w:rPr>
        <w:rFonts w:ascii="Wingdings" w:hAnsi="Wingdings" w:hint="default"/>
      </w:rPr>
    </w:lvl>
  </w:abstractNum>
  <w:abstractNum w:abstractNumId="54" w15:restartNumberingAfterBreak="0">
    <w:nsid w:val="56472B38"/>
    <w:multiLevelType w:val="hybridMultilevel"/>
    <w:tmpl w:val="82F2F888"/>
    <w:lvl w:ilvl="0" w:tplc="ADA292B0">
      <w:start w:val="1"/>
      <w:numFmt w:val="decimal"/>
      <w:lvlText w:val="%1."/>
      <w:lvlJc w:val="left"/>
      <w:pPr>
        <w:ind w:left="720" w:hanging="360"/>
      </w:pPr>
    </w:lvl>
    <w:lvl w:ilvl="1" w:tplc="DE68C422">
      <w:start w:val="1"/>
      <w:numFmt w:val="lowerLetter"/>
      <w:lvlText w:val="%2."/>
      <w:lvlJc w:val="left"/>
      <w:pPr>
        <w:ind w:left="1440" w:hanging="360"/>
      </w:pPr>
    </w:lvl>
    <w:lvl w:ilvl="2" w:tplc="F6D269BA">
      <w:start w:val="1"/>
      <w:numFmt w:val="lowerRoman"/>
      <w:lvlText w:val="%3."/>
      <w:lvlJc w:val="right"/>
      <w:pPr>
        <w:ind w:left="2160" w:hanging="180"/>
      </w:pPr>
    </w:lvl>
    <w:lvl w:ilvl="3" w:tplc="7908C712">
      <w:start w:val="1"/>
      <w:numFmt w:val="decimal"/>
      <w:lvlText w:val="%4."/>
      <w:lvlJc w:val="left"/>
      <w:pPr>
        <w:ind w:left="2880" w:hanging="360"/>
      </w:pPr>
    </w:lvl>
    <w:lvl w:ilvl="4" w:tplc="75362166">
      <w:start w:val="1"/>
      <w:numFmt w:val="lowerLetter"/>
      <w:lvlText w:val="%5."/>
      <w:lvlJc w:val="left"/>
      <w:pPr>
        <w:ind w:left="3600" w:hanging="360"/>
      </w:pPr>
    </w:lvl>
    <w:lvl w:ilvl="5" w:tplc="B3B6D234">
      <w:start w:val="1"/>
      <w:numFmt w:val="lowerRoman"/>
      <w:lvlText w:val="%6."/>
      <w:lvlJc w:val="right"/>
      <w:pPr>
        <w:ind w:left="4320" w:hanging="180"/>
      </w:pPr>
    </w:lvl>
    <w:lvl w:ilvl="6" w:tplc="AD7034A8">
      <w:start w:val="1"/>
      <w:numFmt w:val="decimal"/>
      <w:lvlText w:val="%7."/>
      <w:lvlJc w:val="left"/>
      <w:pPr>
        <w:ind w:left="5040" w:hanging="360"/>
      </w:pPr>
    </w:lvl>
    <w:lvl w:ilvl="7" w:tplc="945C2AA6">
      <w:start w:val="1"/>
      <w:numFmt w:val="lowerLetter"/>
      <w:lvlText w:val="%8."/>
      <w:lvlJc w:val="left"/>
      <w:pPr>
        <w:ind w:left="5760" w:hanging="360"/>
      </w:pPr>
    </w:lvl>
    <w:lvl w:ilvl="8" w:tplc="71AA0BFC">
      <w:start w:val="1"/>
      <w:numFmt w:val="lowerRoman"/>
      <w:lvlText w:val="%9."/>
      <w:lvlJc w:val="right"/>
      <w:pPr>
        <w:ind w:left="6480" w:hanging="180"/>
      </w:pPr>
    </w:lvl>
  </w:abstractNum>
  <w:abstractNum w:abstractNumId="55" w15:restartNumberingAfterBreak="0">
    <w:nsid w:val="56624843"/>
    <w:multiLevelType w:val="hybridMultilevel"/>
    <w:tmpl w:val="F7203D70"/>
    <w:lvl w:ilvl="0" w:tplc="36C81988">
      <w:start w:val="1"/>
      <w:numFmt w:val="bullet"/>
      <w:lvlText w:val=""/>
      <w:lvlJc w:val="left"/>
      <w:pPr>
        <w:ind w:left="720" w:hanging="360"/>
      </w:pPr>
      <w:rPr>
        <w:rFonts w:ascii="Symbol" w:hAnsi="Symbol" w:hint="default"/>
      </w:rPr>
    </w:lvl>
    <w:lvl w:ilvl="1" w:tplc="E1F2A4B2">
      <w:start w:val="1"/>
      <w:numFmt w:val="bullet"/>
      <w:lvlText w:val="o"/>
      <w:lvlJc w:val="left"/>
      <w:pPr>
        <w:ind w:left="1440" w:hanging="360"/>
      </w:pPr>
      <w:rPr>
        <w:rFonts w:ascii="Courier New" w:hAnsi="Courier New" w:hint="default"/>
      </w:rPr>
    </w:lvl>
    <w:lvl w:ilvl="2" w:tplc="B7049AB4">
      <w:start w:val="1"/>
      <w:numFmt w:val="bullet"/>
      <w:lvlText w:val=""/>
      <w:lvlJc w:val="left"/>
      <w:pPr>
        <w:ind w:left="2160" w:hanging="360"/>
      </w:pPr>
      <w:rPr>
        <w:rFonts w:ascii="Wingdings" w:hAnsi="Wingdings" w:hint="default"/>
      </w:rPr>
    </w:lvl>
    <w:lvl w:ilvl="3" w:tplc="7F6A92FC">
      <w:start w:val="1"/>
      <w:numFmt w:val="bullet"/>
      <w:lvlText w:val=""/>
      <w:lvlJc w:val="left"/>
      <w:pPr>
        <w:ind w:left="2880" w:hanging="360"/>
      </w:pPr>
      <w:rPr>
        <w:rFonts w:ascii="Symbol" w:hAnsi="Symbol" w:hint="default"/>
      </w:rPr>
    </w:lvl>
    <w:lvl w:ilvl="4" w:tplc="754EAC70">
      <w:start w:val="1"/>
      <w:numFmt w:val="bullet"/>
      <w:lvlText w:val="o"/>
      <w:lvlJc w:val="left"/>
      <w:pPr>
        <w:ind w:left="3600" w:hanging="360"/>
      </w:pPr>
      <w:rPr>
        <w:rFonts w:ascii="Courier New" w:hAnsi="Courier New" w:hint="default"/>
      </w:rPr>
    </w:lvl>
    <w:lvl w:ilvl="5" w:tplc="B6AED2B4">
      <w:start w:val="1"/>
      <w:numFmt w:val="bullet"/>
      <w:lvlText w:val=""/>
      <w:lvlJc w:val="left"/>
      <w:pPr>
        <w:ind w:left="4320" w:hanging="360"/>
      </w:pPr>
      <w:rPr>
        <w:rFonts w:ascii="Wingdings" w:hAnsi="Wingdings" w:hint="default"/>
      </w:rPr>
    </w:lvl>
    <w:lvl w:ilvl="6" w:tplc="C3AAE9A2">
      <w:start w:val="1"/>
      <w:numFmt w:val="bullet"/>
      <w:lvlText w:val=""/>
      <w:lvlJc w:val="left"/>
      <w:pPr>
        <w:ind w:left="5040" w:hanging="360"/>
      </w:pPr>
      <w:rPr>
        <w:rFonts w:ascii="Symbol" w:hAnsi="Symbol" w:hint="default"/>
      </w:rPr>
    </w:lvl>
    <w:lvl w:ilvl="7" w:tplc="AB5ED5B6">
      <w:start w:val="1"/>
      <w:numFmt w:val="bullet"/>
      <w:lvlText w:val="o"/>
      <w:lvlJc w:val="left"/>
      <w:pPr>
        <w:ind w:left="5760" w:hanging="360"/>
      </w:pPr>
      <w:rPr>
        <w:rFonts w:ascii="Courier New" w:hAnsi="Courier New" w:hint="default"/>
      </w:rPr>
    </w:lvl>
    <w:lvl w:ilvl="8" w:tplc="4B6C03E4">
      <w:start w:val="1"/>
      <w:numFmt w:val="bullet"/>
      <w:lvlText w:val=""/>
      <w:lvlJc w:val="left"/>
      <w:pPr>
        <w:ind w:left="6480" w:hanging="360"/>
      </w:pPr>
      <w:rPr>
        <w:rFonts w:ascii="Wingdings" w:hAnsi="Wingdings" w:hint="default"/>
      </w:rPr>
    </w:lvl>
  </w:abstractNum>
  <w:abstractNum w:abstractNumId="56" w15:restartNumberingAfterBreak="0">
    <w:nsid w:val="612F0D32"/>
    <w:multiLevelType w:val="hybridMultilevel"/>
    <w:tmpl w:val="B21EBBD8"/>
    <w:lvl w:ilvl="0" w:tplc="2E724B2A">
      <w:start w:val="1"/>
      <w:numFmt w:val="bullet"/>
      <w:lvlText w:val=""/>
      <w:lvlJc w:val="left"/>
      <w:pPr>
        <w:ind w:left="1995" w:hanging="360"/>
      </w:pPr>
      <w:rPr>
        <w:rFonts w:ascii="Symbol" w:hAnsi="Symbol" w:hint="default"/>
      </w:rPr>
    </w:lvl>
    <w:lvl w:ilvl="1" w:tplc="06A67A02" w:tentative="1">
      <w:start w:val="1"/>
      <w:numFmt w:val="bullet"/>
      <w:lvlText w:val="o"/>
      <w:lvlJc w:val="left"/>
      <w:pPr>
        <w:ind w:left="2715" w:hanging="360"/>
      </w:pPr>
      <w:rPr>
        <w:rFonts w:ascii="Courier New" w:hAnsi="Courier New" w:cs="Courier New" w:hint="default"/>
      </w:rPr>
    </w:lvl>
    <w:lvl w:ilvl="2" w:tplc="3E7A2F2E" w:tentative="1">
      <w:start w:val="1"/>
      <w:numFmt w:val="bullet"/>
      <w:lvlText w:val=""/>
      <w:lvlJc w:val="left"/>
      <w:pPr>
        <w:ind w:left="3435" w:hanging="360"/>
      </w:pPr>
      <w:rPr>
        <w:rFonts w:ascii="Wingdings" w:hAnsi="Wingdings" w:hint="default"/>
      </w:rPr>
    </w:lvl>
    <w:lvl w:ilvl="3" w:tplc="5C50E79C" w:tentative="1">
      <w:start w:val="1"/>
      <w:numFmt w:val="bullet"/>
      <w:lvlText w:val=""/>
      <w:lvlJc w:val="left"/>
      <w:pPr>
        <w:ind w:left="4155" w:hanging="360"/>
      </w:pPr>
      <w:rPr>
        <w:rFonts w:ascii="Symbol" w:hAnsi="Symbol" w:hint="default"/>
      </w:rPr>
    </w:lvl>
    <w:lvl w:ilvl="4" w:tplc="E06E9E5C" w:tentative="1">
      <w:start w:val="1"/>
      <w:numFmt w:val="bullet"/>
      <w:lvlText w:val="o"/>
      <w:lvlJc w:val="left"/>
      <w:pPr>
        <w:ind w:left="4875" w:hanging="360"/>
      </w:pPr>
      <w:rPr>
        <w:rFonts w:ascii="Courier New" w:hAnsi="Courier New" w:cs="Courier New" w:hint="default"/>
      </w:rPr>
    </w:lvl>
    <w:lvl w:ilvl="5" w:tplc="D2B06506" w:tentative="1">
      <w:start w:val="1"/>
      <w:numFmt w:val="bullet"/>
      <w:lvlText w:val=""/>
      <w:lvlJc w:val="left"/>
      <w:pPr>
        <w:ind w:left="5595" w:hanging="360"/>
      </w:pPr>
      <w:rPr>
        <w:rFonts w:ascii="Wingdings" w:hAnsi="Wingdings" w:hint="default"/>
      </w:rPr>
    </w:lvl>
    <w:lvl w:ilvl="6" w:tplc="09CAE5A4" w:tentative="1">
      <w:start w:val="1"/>
      <w:numFmt w:val="bullet"/>
      <w:lvlText w:val=""/>
      <w:lvlJc w:val="left"/>
      <w:pPr>
        <w:ind w:left="6315" w:hanging="360"/>
      </w:pPr>
      <w:rPr>
        <w:rFonts w:ascii="Symbol" w:hAnsi="Symbol" w:hint="default"/>
      </w:rPr>
    </w:lvl>
    <w:lvl w:ilvl="7" w:tplc="56380616" w:tentative="1">
      <w:start w:val="1"/>
      <w:numFmt w:val="bullet"/>
      <w:lvlText w:val="o"/>
      <w:lvlJc w:val="left"/>
      <w:pPr>
        <w:ind w:left="7035" w:hanging="360"/>
      </w:pPr>
      <w:rPr>
        <w:rFonts w:ascii="Courier New" w:hAnsi="Courier New" w:cs="Courier New" w:hint="default"/>
      </w:rPr>
    </w:lvl>
    <w:lvl w:ilvl="8" w:tplc="B7B42B24" w:tentative="1">
      <w:start w:val="1"/>
      <w:numFmt w:val="bullet"/>
      <w:lvlText w:val=""/>
      <w:lvlJc w:val="left"/>
      <w:pPr>
        <w:ind w:left="7755" w:hanging="360"/>
      </w:pPr>
      <w:rPr>
        <w:rFonts w:ascii="Wingdings" w:hAnsi="Wingdings" w:hint="default"/>
      </w:rPr>
    </w:lvl>
  </w:abstractNum>
  <w:abstractNum w:abstractNumId="57" w15:restartNumberingAfterBreak="0">
    <w:nsid w:val="63F759CD"/>
    <w:multiLevelType w:val="hybridMultilevel"/>
    <w:tmpl w:val="6FF22088"/>
    <w:lvl w:ilvl="0" w:tplc="2894FA2E">
      <w:start w:val="1"/>
      <w:numFmt w:val="decimal"/>
      <w:pStyle w:val="Heading4"/>
      <w:lvlText w:val="%1."/>
      <w:lvlJc w:val="left"/>
      <w:pPr>
        <w:ind w:left="360" w:hanging="360"/>
      </w:pPr>
    </w:lvl>
    <w:lvl w:ilvl="1" w:tplc="569E74AE" w:tentative="1">
      <w:start w:val="1"/>
      <w:numFmt w:val="lowerLetter"/>
      <w:lvlText w:val="%2."/>
      <w:lvlJc w:val="left"/>
      <w:pPr>
        <w:ind w:left="1080" w:hanging="360"/>
      </w:pPr>
    </w:lvl>
    <w:lvl w:ilvl="2" w:tplc="9A5EABBA" w:tentative="1">
      <w:start w:val="1"/>
      <w:numFmt w:val="lowerRoman"/>
      <w:lvlText w:val="%3."/>
      <w:lvlJc w:val="right"/>
      <w:pPr>
        <w:ind w:left="1800" w:hanging="180"/>
      </w:pPr>
    </w:lvl>
    <w:lvl w:ilvl="3" w:tplc="A4AE27CA" w:tentative="1">
      <w:start w:val="1"/>
      <w:numFmt w:val="decimal"/>
      <w:lvlText w:val="%4."/>
      <w:lvlJc w:val="left"/>
      <w:pPr>
        <w:ind w:left="2520" w:hanging="360"/>
      </w:pPr>
    </w:lvl>
    <w:lvl w:ilvl="4" w:tplc="B72CAEA8" w:tentative="1">
      <w:start w:val="1"/>
      <w:numFmt w:val="lowerLetter"/>
      <w:lvlText w:val="%5."/>
      <w:lvlJc w:val="left"/>
      <w:pPr>
        <w:ind w:left="3240" w:hanging="360"/>
      </w:pPr>
    </w:lvl>
    <w:lvl w:ilvl="5" w:tplc="F740019A" w:tentative="1">
      <w:start w:val="1"/>
      <w:numFmt w:val="lowerRoman"/>
      <w:lvlText w:val="%6."/>
      <w:lvlJc w:val="right"/>
      <w:pPr>
        <w:ind w:left="3960" w:hanging="180"/>
      </w:pPr>
    </w:lvl>
    <w:lvl w:ilvl="6" w:tplc="B5FAD3F2" w:tentative="1">
      <w:start w:val="1"/>
      <w:numFmt w:val="decimal"/>
      <w:lvlText w:val="%7."/>
      <w:lvlJc w:val="left"/>
      <w:pPr>
        <w:ind w:left="4680" w:hanging="360"/>
      </w:pPr>
    </w:lvl>
    <w:lvl w:ilvl="7" w:tplc="692E83D0" w:tentative="1">
      <w:start w:val="1"/>
      <w:numFmt w:val="lowerLetter"/>
      <w:lvlText w:val="%8."/>
      <w:lvlJc w:val="left"/>
      <w:pPr>
        <w:ind w:left="5400" w:hanging="360"/>
      </w:pPr>
    </w:lvl>
    <w:lvl w:ilvl="8" w:tplc="2D8CDF1A" w:tentative="1">
      <w:start w:val="1"/>
      <w:numFmt w:val="lowerRoman"/>
      <w:lvlText w:val="%9."/>
      <w:lvlJc w:val="right"/>
      <w:pPr>
        <w:ind w:left="6120" w:hanging="180"/>
      </w:pPr>
    </w:lvl>
  </w:abstractNum>
  <w:abstractNum w:abstractNumId="58" w15:restartNumberingAfterBreak="0">
    <w:nsid w:val="698D1265"/>
    <w:multiLevelType w:val="hybridMultilevel"/>
    <w:tmpl w:val="B930D8A6"/>
    <w:lvl w:ilvl="0" w:tplc="E8BABF10">
      <w:start w:val="1"/>
      <w:numFmt w:val="bullet"/>
      <w:lvlText w:val=""/>
      <w:lvlJc w:val="left"/>
      <w:pPr>
        <w:ind w:left="720" w:hanging="360"/>
      </w:pPr>
      <w:rPr>
        <w:rFonts w:ascii="Symbol" w:hAnsi="Symbol" w:hint="default"/>
      </w:rPr>
    </w:lvl>
    <w:lvl w:ilvl="1" w:tplc="6F64B190" w:tentative="1">
      <w:start w:val="1"/>
      <w:numFmt w:val="bullet"/>
      <w:lvlText w:val="o"/>
      <w:lvlJc w:val="left"/>
      <w:pPr>
        <w:ind w:left="1440" w:hanging="360"/>
      </w:pPr>
      <w:rPr>
        <w:rFonts w:ascii="Courier New" w:hAnsi="Courier New" w:cs="Courier New" w:hint="default"/>
      </w:rPr>
    </w:lvl>
    <w:lvl w:ilvl="2" w:tplc="4E4C4488" w:tentative="1">
      <w:start w:val="1"/>
      <w:numFmt w:val="bullet"/>
      <w:lvlText w:val=""/>
      <w:lvlJc w:val="left"/>
      <w:pPr>
        <w:ind w:left="2160" w:hanging="360"/>
      </w:pPr>
      <w:rPr>
        <w:rFonts w:ascii="Wingdings" w:hAnsi="Wingdings" w:hint="default"/>
      </w:rPr>
    </w:lvl>
    <w:lvl w:ilvl="3" w:tplc="78969C68" w:tentative="1">
      <w:start w:val="1"/>
      <w:numFmt w:val="bullet"/>
      <w:lvlText w:val=""/>
      <w:lvlJc w:val="left"/>
      <w:pPr>
        <w:ind w:left="2880" w:hanging="360"/>
      </w:pPr>
      <w:rPr>
        <w:rFonts w:ascii="Symbol" w:hAnsi="Symbol" w:hint="default"/>
      </w:rPr>
    </w:lvl>
    <w:lvl w:ilvl="4" w:tplc="E9C23656" w:tentative="1">
      <w:start w:val="1"/>
      <w:numFmt w:val="bullet"/>
      <w:lvlText w:val="o"/>
      <w:lvlJc w:val="left"/>
      <w:pPr>
        <w:ind w:left="3600" w:hanging="360"/>
      </w:pPr>
      <w:rPr>
        <w:rFonts w:ascii="Courier New" w:hAnsi="Courier New" w:cs="Courier New" w:hint="default"/>
      </w:rPr>
    </w:lvl>
    <w:lvl w:ilvl="5" w:tplc="D39A36BA" w:tentative="1">
      <w:start w:val="1"/>
      <w:numFmt w:val="bullet"/>
      <w:lvlText w:val=""/>
      <w:lvlJc w:val="left"/>
      <w:pPr>
        <w:ind w:left="4320" w:hanging="360"/>
      </w:pPr>
      <w:rPr>
        <w:rFonts w:ascii="Wingdings" w:hAnsi="Wingdings" w:hint="default"/>
      </w:rPr>
    </w:lvl>
    <w:lvl w:ilvl="6" w:tplc="099E342E" w:tentative="1">
      <w:start w:val="1"/>
      <w:numFmt w:val="bullet"/>
      <w:lvlText w:val=""/>
      <w:lvlJc w:val="left"/>
      <w:pPr>
        <w:ind w:left="5040" w:hanging="360"/>
      </w:pPr>
      <w:rPr>
        <w:rFonts w:ascii="Symbol" w:hAnsi="Symbol" w:hint="default"/>
      </w:rPr>
    </w:lvl>
    <w:lvl w:ilvl="7" w:tplc="1F766C46" w:tentative="1">
      <w:start w:val="1"/>
      <w:numFmt w:val="bullet"/>
      <w:lvlText w:val="o"/>
      <w:lvlJc w:val="left"/>
      <w:pPr>
        <w:ind w:left="5760" w:hanging="360"/>
      </w:pPr>
      <w:rPr>
        <w:rFonts w:ascii="Courier New" w:hAnsi="Courier New" w:cs="Courier New" w:hint="default"/>
      </w:rPr>
    </w:lvl>
    <w:lvl w:ilvl="8" w:tplc="20C69570" w:tentative="1">
      <w:start w:val="1"/>
      <w:numFmt w:val="bullet"/>
      <w:lvlText w:val=""/>
      <w:lvlJc w:val="left"/>
      <w:pPr>
        <w:ind w:left="6480" w:hanging="360"/>
      </w:pPr>
      <w:rPr>
        <w:rFonts w:ascii="Wingdings" w:hAnsi="Wingdings" w:hint="default"/>
      </w:rPr>
    </w:lvl>
  </w:abstractNum>
  <w:abstractNum w:abstractNumId="59" w15:restartNumberingAfterBreak="0">
    <w:nsid w:val="6BE218A0"/>
    <w:multiLevelType w:val="hybridMultilevel"/>
    <w:tmpl w:val="FFFFFFFF"/>
    <w:lvl w:ilvl="0" w:tplc="D98ED6D2">
      <w:start w:val="1"/>
      <w:numFmt w:val="bullet"/>
      <w:lvlText w:val=""/>
      <w:lvlJc w:val="left"/>
      <w:pPr>
        <w:ind w:left="720" w:hanging="360"/>
      </w:pPr>
      <w:rPr>
        <w:rFonts w:ascii="Symbol" w:hAnsi="Symbol" w:hint="default"/>
      </w:rPr>
    </w:lvl>
    <w:lvl w:ilvl="1" w:tplc="EDB01456">
      <w:start w:val="1"/>
      <w:numFmt w:val="bullet"/>
      <w:lvlText w:val="o"/>
      <w:lvlJc w:val="left"/>
      <w:pPr>
        <w:ind w:left="1440" w:hanging="360"/>
      </w:pPr>
      <w:rPr>
        <w:rFonts w:ascii="Courier New" w:hAnsi="Courier New" w:hint="default"/>
      </w:rPr>
    </w:lvl>
    <w:lvl w:ilvl="2" w:tplc="8C484022">
      <w:start w:val="1"/>
      <w:numFmt w:val="bullet"/>
      <w:lvlText w:val=""/>
      <w:lvlJc w:val="left"/>
      <w:pPr>
        <w:ind w:left="2160" w:hanging="360"/>
      </w:pPr>
      <w:rPr>
        <w:rFonts w:ascii="Wingdings" w:hAnsi="Wingdings" w:hint="default"/>
      </w:rPr>
    </w:lvl>
    <w:lvl w:ilvl="3" w:tplc="E1C62476">
      <w:start w:val="1"/>
      <w:numFmt w:val="bullet"/>
      <w:lvlText w:val=""/>
      <w:lvlJc w:val="left"/>
      <w:pPr>
        <w:ind w:left="2880" w:hanging="360"/>
      </w:pPr>
      <w:rPr>
        <w:rFonts w:ascii="Symbol" w:hAnsi="Symbol" w:hint="default"/>
      </w:rPr>
    </w:lvl>
    <w:lvl w:ilvl="4" w:tplc="4EFA650A">
      <w:start w:val="1"/>
      <w:numFmt w:val="bullet"/>
      <w:lvlText w:val="o"/>
      <w:lvlJc w:val="left"/>
      <w:pPr>
        <w:ind w:left="3600" w:hanging="360"/>
      </w:pPr>
      <w:rPr>
        <w:rFonts w:ascii="Courier New" w:hAnsi="Courier New" w:hint="default"/>
      </w:rPr>
    </w:lvl>
    <w:lvl w:ilvl="5" w:tplc="AD8E9964">
      <w:start w:val="1"/>
      <w:numFmt w:val="bullet"/>
      <w:lvlText w:val=""/>
      <w:lvlJc w:val="left"/>
      <w:pPr>
        <w:ind w:left="4320" w:hanging="360"/>
      </w:pPr>
      <w:rPr>
        <w:rFonts w:ascii="Wingdings" w:hAnsi="Wingdings" w:hint="default"/>
      </w:rPr>
    </w:lvl>
    <w:lvl w:ilvl="6" w:tplc="FE42BCA0">
      <w:start w:val="1"/>
      <w:numFmt w:val="bullet"/>
      <w:lvlText w:val=""/>
      <w:lvlJc w:val="left"/>
      <w:pPr>
        <w:ind w:left="5040" w:hanging="360"/>
      </w:pPr>
      <w:rPr>
        <w:rFonts w:ascii="Symbol" w:hAnsi="Symbol" w:hint="default"/>
      </w:rPr>
    </w:lvl>
    <w:lvl w:ilvl="7" w:tplc="C89ECEF6">
      <w:start w:val="1"/>
      <w:numFmt w:val="bullet"/>
      <w:lvlText w:val="o"/>
      <w:lvlJc w:val="left"/>
      <w:pPr>
        <w:ind w:left="5760" w:hanging="360"/>
      </w:pPr>
      <w:rPr>
        <w:rFonts w:ascii="Courier New" w:hAnsi="Courier New" w:hint="default"/>
      </w:rPr>
    </w:lvl>
    <w:lvl w:ilvl="8" w:tplc="4E32572A">
      <w:start w:val="1"/>
      <w:numFmt w:val="bullet"/>
      <w:lvlText w:val=""/>
      <w:lvlJc w:val="left"/>
      <w:pPr>
        <w:ind w:left="6480" w:hanging="360"/>
      </w:pPr>
      <w:rPr>
        <w:rFonts w:ascii="Wingdings" w:hAnsi="Wingdings" w:hint="default"/>
      </w:rPr>
    </w:lvl>
  </w:abstractNum>
  <w:abstractNum w:abstractNumId="60" w15:restartNumberingAfterBreak="0">
    <w:nsid w:val="6C553D47"/>
    <w:multiLevelType w:val="hybridMultilevel"/>
    <w:tmpl w:val="FDAA2C08"/>
    <w:lvl w:ilvl="0" w:tplc="BBAA0FE0">
      <w:start w:val="1"/>
      <w:numFmt w:val="bullet"/>
      <w:lvlText w:val=""/>
      <w:lvlJc w:val="left"/>
      <w:pPr>
        <w:ind w:left="720" w:hanging="360"/>
      </w:pPr>
      <w:rPr>
        <w:rFonts w:ascii="Symbol" w:hAnsi="Symbol" w:hint="default"/>
      </w:rPr>
    </w:lvl>
    <w:lvl w:ilvl="1" w:tplc="5C0C9A84" w:tentative="1">
      <w:start w:val="1"/>
      <w:numFmt w:val="bullet"/>
      <w:lvlText w:val="o"/>
      <w:lvlJc w:val="left"/>
      <w:pPr>
        <w:ind w:left="1440" w:hanging="360"/>
      </w:pPr>
      <w:rPr>
        <w:rFonts w:ascii="Courier New" w:hAnsi="Courier New" w:cs="Courier New" w:hint="default"/>
      </w:rPr>
    </w:lvl>
    <w:lvl w:ilvl="2" w:tplc="2188B04A" w:tentative="1">
      <w:start w:val="1"/>
      <w:numFmt w:val="bullet"/>
      <w:lvlText w:val=""/>
      <w:lvlJc w:val="left"/>
      <w:pPr>
        <w:ind w:left="2160" w:hanging="360"/>
      </w:pPr>
      <w:rPr>
        <w:rFonts w:ascii="Wingdings" w:hAnsi="Wingdings" w:hint="default"/>
      </w:rPr>
    </w:lvl>
    <w:lvl w:ilvl="3" w:tplc="BA5E5D0E" w:tentative="1">
      <w:start w:val="1"/>
      <w:numFmt w:val="bullet"/>
      <w:lvlText w:val=""/>
      <w:lvlJc w:val="left"/>
      <w:pPr>
        <w:ind w:left="2880" w:hanging="360"/>
      </w:pPr>
      <w:rPr>
        <w:rFonts w:ascii="Symbol" w:hAnsi="Symbol" w:hint="default"/>
      </w:rPr>
    </w:lvl>
    <w:lvl w:ilvl="4" w:tplc="35D6B440" w:tentative="1">
      <w:start w:val="1"/>
      <w:numFmt w:val="bullet"/>
      <w:lvlText w:val="o"/>
      <w:lvlJc w:val="left"/>
      <w:pPr>
        <w:ind w:left="3600" w:hanging="360"/>
      </w:pPr>
      <w:rPr>
        <w:rFonts w:ascii="Courier New" w:hAnsi="Courier New" w:cs="Courier New" w:hint="default"/>
      </w:rPr>
    </w:lvl>
    <w:lvl w:ilvl="5" w:tplc="999EA964" w:tentative="1">
      <w:start w:val="1"/>
      <w:numFmt w:val="bullet"/>
      <w:lvlText w:val=""/>
      <w:lvlJc w:val="left"/>
      <w:pPr>
        <w:ind w:left="4320" w:hanging="360"/>
      </w:pPr>
      <w:rPr>
        <w:rFonts w:ascii="Wingdings" w:hAnsi="Wingdings" w:hint="default"/>
      </w:rPr>
    </w:lvl>
    <w:lvl w:ilvl="6" w:tplc="E47C06C6" w:tentative="1">
      <w:start w:val="1"/>
      <w:numFmt w:val="bullet"/>
      <w:lvlText w:val=""/>
      <w:lvlJc w:val="left"/>
      <w:pPr>
        <w:ind w:left="5040" w:hanging="360"/>
      </w:pPr>
      <w:rPr>
        <w:rFonts w:ascii="Symbol" w:hAnsi="Symbol" w:hint="default"/>
      </w:rPr>
    </w:lvl>
    <w:lvl w:ilvl="7" w:tplc="1CB0D36A" w:tentative="1">
      <w:start w:val="1"/>
      <w:numFmt w:val="bullet"/>
      <w:lvlText w:val="o"/>
      <w:lvlJc w:val="left"/>
      <w:pPr>
        <w:ind w:left="5760" w:hanging="360"/>
      </w:pPr>
      <w:rPr>
        <w:rFonts w:ascii="Courier New" w:hAnsi="Courier New" w:cs="Courier New" w:hint="default"/>
      </w:rPr>
    </w:lvl>
    <w:lvl w:ilvl="8" w:tplc="14BA9018" w:tentative="1">
      <w:start w:val="1"/>
      <w:numFmt w:val="bullet"/>
      <w:lvlText w:val=""/>
      <w:lvlJc w:val="left"/>
      <w:pPr>
        <w:ind w:left="6480" w:hanging="360"/>
      </w:pPr>
      <w:rPr>
        <w:rFonts w:ascii="Wingdings" w:hAnsi="Wingdings" w:hint="default"/>
      </w:rPr>
    </w:lvl>
  </w:abstractNum>
  <w:abstractNum w:abstractNumId="61" w15:restartNumberingAfterBreak="0">
    <w:nsid w:val="6E02223E"/>
    <w:multiLevelType w:val="hybridMultilevel"/>
    <w:tmpl w:val="98707230"/>
    <w:lvl w:ilvl="0" w:tplc="1FEA9C0C">
      <w:start w:val="1"/>
      <w:numFmt w:val="bullet"/>
      <w:lvlText w:val="·"/>
      <w:lvlJc w:val="left"/>
      <w:pPr>
        <w:ind w:left="720" w:hanging="360"/>
      </w:pPr>
      <w:rPr>
        <w:rFonts w:ascii="Symbol" w:hAnsi="Symbol" w:hint="default"/>
      </w:rPr>
    </w:lvl>
    <w:lvl w:ilvl="1" w:tplc="1906410A">
      <w:start w:val="1"/>
      <w:numFmt w:val="bullet"/>
      <w:lvlText w:val="o"/>
      <w:lvlJc w:val="left"/>
      <w:pPr>
        <w:ind w:left="1440" w:hanging="360"/>
      </w:pPr>
      <w:rPr>
        <w:rFonts w:ascii="Courier New" w:hAnsi="Courier New" w:hint="default"/>
      </w:rPr>
    </w:lvl>
    <w:lvl w:ilvl="2" w:tplc="87122B7C">
      <w:start w:val="1"/>
      <w:numFmt w:val="bullet"/>
      <w:lvlText w:val=""/>
      <w:lvlJc w:val="left"/>
      <w:pPr>
        <w:ind w:left="2160" w:hanging="360"/>
      </w:pPr>
      <w:rPr>
        <w:rFonts w:ascii="Wingdings" w:hAnsi="Wingdings" w:hint="default"/>
      </w:rPr>
    </w:lvl>
    <w:lvl w:ilvl="3" w:tplc="9D14ABE2">
      <w:start w:val="1"/>
      <w:numFmt w:val="bullet"/>
      <w:lvlText w:val=""/>
      <w:lvlJc w:val="left"/>
      <w:pPr>
        <w:ind w:left="2880" w:hanging="360"/>
      </w:pPr>
      <w:rPr>
        <w:rFonts w:ascii="Symbol" w:hAnsi="Symbol" w:hint="default"/>
      </w:rPr>
    </w:lvl>
    <w:lvl w:ilvl="4" w:tplc="77267F80">
      <w:start w:val="1"/>
      <w:numFmt w:val="bullet"/>
      <w:lvlText w:val="o"/>
      <w:lvlJc w:val="left"/>
      <w:pPr>
        <w:ind w:left="3600" w:hanging="360"/>
      </w:pPr>
      <w:rPr>
        <w:rFonts w:ascii="Courier New" w:hAnsi="Courier New" w:hint="default"/>
      </w:rPr>
    </w:lvl>
    <w:lvl w:ilvl="5" w:tplc="C4DCDDC8">
      <w:start w:val="1"/>
      <w:numFmt w:val="bullet"/>
      <w:lvlText w:val=""/>
      <w:lvlJc w:val="left"/>
      <w:pPr>
        <w:ind w:left="4320" w:hanging="360"/>
      </w:pPr>
      <w:rPr>
        <w:rFonts w:ascii="Wingdings" w:hAnsi="Wingdings" w:hint="default"/>
      </w:rPr>
    </w:lvl>
    <w:lvl w:ilvl="6" w:tplc="DB724DDA">
      <w:start w:val="1"/>
      <w:numFmt w:val="bullet"/>
      <w:lvlText w:val=""/>
      <w:lvlJc w:val="left"/>
      <w:pPr>
        <w:ind w:left="5040" w:hanging="360"/>
      </w:pPr>
      <w:rPr>
        <w:rFonts w:ascii="Symbol" w:hAnsi="Symbol" w:hint="default"/>
      </w:rPr>
    </w:lvl>
    <w:lvl w:ilvl="7" w:tplc="2C4021A0">
      <w:start w:val="1"/>
      <w:numFmt w:val="bullet"/>
      <w:lvlText w:val="o"/>
      <w:lvlJc w:val="left"/>
      <w:pPr>
        <w:ind w:left="5760" w:hanging="360"/>
      </w:pPr>
      <w:rPr>
        <w:rFonts w:ascii="Courier New" w:hAnsi="Courier New" w:hint="default"/>
      </w:rPr>
    </w:lvl>
    <w:lvl w:ilvl="8" w:tplc="61DEF3C8">
      <w:start w:val="1"/>
      <w:numFmt w:val="bullet"/>
      <w:lvlText w:val=""/>
      <w:lvlJc w:val="left"/>
      <w:pPr>
        <w:ind w:left="6480" w:hanging="360"/>
      </w:pPr>
      <w:rPr>
        <w:rFonts w:ascii="Wingdings" w:hAnsi="Wingdings" w:hint="default"/>
      </w:rPr>
    </w:lvl>
  </w:abstractNum>
  <w:abstractNum w:abstractNumId="62" w15:restartNumberingAfterBreak="0">
    <w:nsid w:val="712C6B77"/>
    <w:multiLevelType w:val="hybridMultilevel"/>
    <w:tmpl w:val="808278F0"/>
    <w:lvl w:ilvl="0" w:tplc="378A355E">
      <w:start w:val="1"/>
      <w:numFmt w:val="decimal"/>
      <w:pStyle w:val="Heading3-numbered"/>
      <w:lvlText w:val="%1."/>
      <w:lvlJc w:val="left"/>
      <w:pPr>
        <w:ind w:left="360" w:hanging="360"/>
      </w:pPr>
      <w:rPr>
        <w:b/>
        <w:i w:val="0"/>
        <w:color w:val="auto"/>
        <w:sz w:val="28"/>
        <w:szCs w:val="28"/>
      </w:rPr>
    </w:lvl>
    <w:lvl w:ilvl="1" w:tplc="BD4C8A54" w:tentative="1">
      <w:start w:val="1"/>
      <w:numFmt w:val="lowerLetter"/>
      <w:lvlText w:val="%2."/>
      <w:lvlJc w:val="left"/>
      <w:pPr>
        <w:ind w:left="1080" w:hanging="360"/>
      </w:pPr>
    </w:lvl>
    <w:lvl w:ilvl="2" w:tplc="4EF0A96A" w:tentative="1">
      <w:start w:val="1"/>
      <w:numFmt w:val="lowerRoman"/>
      <w:lvlText w:val="%3."/>
      <w:lvlJc w:val="right"/>
      <w:pPr>
        <w:ind w:left="1800" w:hanging="180"/>
      </w:pPr>
    </w:lvl>
    <w:lvl w:ilvl="3" w:tplc="BD9471E0" w:tentative="1">
      <w:start w:val="1"/>
      <w:numFmt w:val="decimal"/>
      <w:lvlText w:val="%4."/>
      <w:lvlJc w:val="left"/>
      <w:pPr>
        <w:ind w:left="2520" w:hanging="360"/>
      </w:pPr>
    </w:lvl>
    <w:lvl w:ilvl="4" w:tplc="FC0E2DF8" w:tentative="1">
      <w:start w:val="1"/>
      <w:numFmt w:val="lowerLetter"/>
      <w:lvlText w:val="%5."/>
      <w:lvlJc w:val="left"/>
      <w:pPr>
        <w:ind w:left="3240" w:hanging="360"/>
      </w:pPr>
    </w:lvl>
    <w:lvl w:ilvl="5" w:tplc="CB18DF72" w:tentative="1">
      <w:start w:val="1"/>
      <w:numFmt w:val="lowerRoman"/>
      <w:lvlText w:val="%6."/>
      <w:lvlJc w:val="right"/>
      <w:pPr>
        <w:ind w:left="3960" w:hanging="180"/>
      </w:pPr>
    </w:lvl>
    <w:lvl w:ilvl="6" w:tplc="C338DDE0" w:tentative="1">
      <w:start w:val="1"/>
      <w:numFmt w:val="decimal"/>
      <w:lvlText w:val="%7."/>
      <w:lvlJc w:val="left"/>
      <w:pPr>
        <w:ind w:left="4680" w:hanging="360"/>
      </w:pPr>
    </w:lvl>
    <w:lvl w:ilvl="7" w:tplc="5DA4E24E" w:tentative="1">
      <w:start w:val="1"/>
      <w:numFmt w:val="lowerLetter"/>
      <w:lvlText w:val="%8."/>
      <w:lvlJc w:val="left"/>
      <w:pPr>
        <w:ind w:left="5400" w:hanging="360"/>
      </w:pPr>
    </w:lvl>
    <w:lvl w:ilvl="8" w:tplc="504A8136" w:tentative="1">
      <w:start w:val="1"/>
      <w:numFmt w:val="lowerRoman"/>
      <w:lvlText w:val="%9."/>
      <w:lvlJc w:val="right"/>
      <w:pPr>
        <w:ind w:left="6120" w:hanging="180"/>
      </w:pPr>
    </w:lvl>
  </w:abstractNum>
  <w:abstractNum w:abstractNumId="63" w15:restartNumberingAfterBreak="0">
    <w:nsid w:val="73F26F0F"/>
    <w:multiLevelType w:val="multilevel"/>
    <w:tmpl w:val="DF9E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59C3707"/>
    <w:multiLevelType w:val="multilevel"/>
    <w:tmpl w:val="AF0A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75140D9"/>
    <w:multiLevelType w:val="hybridMultilevel"/>
    <w:tmpl w:val="3CA88DF8"/>
    <w:lvl w:ilvl="0" w:tplc="D1787E94">
      <w:start w:val="1"/>
      <w:numFmt w:val="bullet"/>
      <w:lvlText w:val=""/>
      <w:lvlJc w:val="left"/>
      <w:pPr>
        <w:ind w:left="720" w:hanging="360"/>
      </w:pPr>
      <w:rPr>
        <w:rFonts w:ascii="Symbol" w:hAnsi="Symbol" w:hint="default"/>
      </w:rPr>
    </w:lvl>
    <w:lvl w:ilvl="1" w:tplc="63F2CA72" w:tentative="1">
      <w:start w:val="1"/>
      <w:numFmt w:val="bullet"/>
      <w:lvlText w:val="o"/>
      <w:lvlJc w:val="left"/>
      <w:pPr>
        <w:ind w:left="1440" w:hanging="360"/>
      </w:pPr>
      <w:rPr>
        <w:rFonts w:ascii="Courier New" w:hAnsi="Courier New" w:cs="Courier New" w:hint="default"/>
      </w:rPr>
    </w:lvl>
    <w:lvl w:ilvl="2" w:tplc="07CC9574" w:tentative="1">
      <w:start w:val="1"/>
      <w:numFmt w:val="bullet"/>
      <w:lvlText w:val=""/>
      <w:lvlJc w:val="left"/>
      <w:pPr>
        <w:ind w:left="2160" w:hanging="360"/>
      </w:pPr>
      <w:rPr>
        <w:rFonts w:ascii="Wingdings" w:hAnsi="Wingdings" w:hint="default"/>
      </w:rPr>
    </w:lvl>
    <w:lvl w:ilvl="3" w:tplc="FDF43DE2" w:tentative="1">
      <w:start w:val="1"/>
      <w:numFmt w:val="bullet"/>
      <w:lvlText w:val=""/>
      <w:lvlJc w:val="left"/>
      <w:pPr>
        <w:ind w:left="2880" w:hanging="360"/>
      </w:pPr>
      <w:rPr>
        <w:rFonts w:ascii="Symbol" w:hAnsi="Symbol" w:hint="default"/>
      </w:rPr>
    </w:lvl>
    <w:lvl w:ilvl="4" w:tplc="5CC66C44" w:tentative="1">
      <w:start w:val="1"/>
      <w:numFmt w:val="bullet"/>
      <w:lvlText w:val="o"/>
      <w:lvlJc w:val="left"/>
      <w:pPr>
        <w:ind w:left="3600" w:hanging="360"/>
      </w:pPr>
      <w:rPr>
        <w:rFonts w:ascii="Courier New" w:hAnsi="Courier New" w:cs="Courier New" w:hint="default"/>
      </w:rPr>
    </w:lvl>
    <w:lvl w:ilvl="5" w:tplc="EA92A10A" w:tentative="1">
      <w:start w:val="1"/>
      <w:numFmt w:val="bullet"/>
      <w:lvlText w:val=""/>
      <w:lvlJc w:val="left"/>
      <w:pPr>
        <w:ind w:left="4320" w:hanging="360"/>
      </w:pPr>
      <w:rPr>
        <w:rFonts w:ascii="Wingdings" w:hAnsi="Wingdings" w:hint="default"/>
      </w:rPr>
    </w:lvl>
    <w:lvl w:ilvl="6" w:tplc="84426B5C" w:tentative="1">
      <w:start w:val="1"/>
      <w:numFmt w:val="bullet"/>
      <w:lvlText w:val=""/>
      <w:lvlJc w:val="left"/>
      <w:pPr>
        <w:ind w:left="5040" w:hanging="360"/>
      </w:pPr>
      <w:rPr>
        <w:rFonts w:ascii="Symbol" w:hAnsi="Symbol" w:hint="default"/>
      </w:rPr>
    </w:lvl>
    <w:lvl w:ilvl="7" w:tplc="185015A6" w:tentative="1">
      <w:start w:val="1"/>
      <w:numFmt w:val="bullet"/>
      <w:lvlText w:val="o"/>
      <w:lvlJc w:val="left"/>
      <w:pPr>
        <w:ind w:left="5760" w:hanging="360"/>
      </w:pPr>
      <w:rPr>
        <w:rFonts w:ascii="Courier New" w:hAnsi="Courier New" w:cs="Courier New" w:hint="default"/>
      </w:rPr>
    </w:lvl>
    <w:lvl w:ilvl="8" w:tplc="C842405E" w:tentative="1">
      <w:start w:val="1"/>
      <w:numFmt w:val="bullet"/>
      <w:lvlText w:val=""/>
      <w:lvlJc w:val="left"/>
      <w:pPr>
        <w:ind w:left="6480" w:hanging="360"/>
      </w:pPr>
      <w:rPr>
        <w:rFonts w:ascii="Wingdings" w:hAnsi="Wingdings" w:hint="default"/>
      </w:rPr>
    </w:lvl>
  </w:abstractNum>
  <w:abstractNum w:abstractNumId="66" w15:restartNumberingAfterBreak="0">
    <w:nsid w:val="791C061D"/>
    <w:multiLevelType w:val="multilevel"/>
    <w:tmpl w:val="80EA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DCC4E54"/>
    <w:multiLevelType w:val="multilevel"/>
    <w:tmpl w:val="4DE6F2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7FB34F66"/>
    <w:multiLevelType w:val="hybridMultilevel"/>
    <w:tmpl w:val="69AEB642"/>
    <w:lvl w:ilvl="0" w:tplc="84C01A30">
      <w:start w:val="1"/>
      <w:numFmt w:val="bullet"/>
      <w:lvlText w:val=""/>
      <w:lvlJc w:val="left"/>
      <w:pPr>
        <w:ind w:left="720" w:hanging="360"/>
      </w:pPr>
      <w:rPr>
        <w:rFonts w:ascii="Symbol" w:hAnsi="Symbol" w:hint="default"/>
      </w:rPr>
    </w:lvl>
    <w:lvl w:ilvl="1" w:tplc="2BF6D624" w:tentative="1">
      <w:start w:val="1"/>
      <w:numFmt w:val="bullet"/>
      <w:lvlText w:val="o"/>
      <w:lvlJc w:val="left"/>
      <w:pPr>
        <w:ind w:left="1440" w:hanging="360"/>
      </w:pPr>
      <w:rPr>
        <w:rFonts w:ascii="Courier New" w:hAnsi="Courier New" w:cs="Courier New" w:hint="default"/>
      </w:rPr>
    </w:lvl>
    <w:lvl w:ilvl="2" w:tplc="D0D409D2" w:tentative="1">
      <w:start w:val="1"/>
      <w:numFmt w:val="bullet"/>
      <w:lvlText w:val=""/>
      <w:lvlJc w:val="left"/>
      <w:pPr>
        <w:ind w:left="2160" w:hanging="360"/>
      </w:pPr>
      <w:rPr>
        <w:rFonts w:ascii="Wingdings" w:hAnsi="Wingdings" w:hint="default"/>
      </w:rPr>
    </w:lvl>
    <w:lvl w:ilvl="3" w:tplc="38047E02" w:tentative="1">
      <w:start w:val="1"/>
      <w:numFmt w:val="bullet"/>
      <w:lvlText w:val=""/>
      <w:lvlJc w:val="left"/>
      <w:pPr>
        <w:ind w:left="2880" w:hanging="360"/>
      </w:pPr>
      <w:rPr>
        <w:rFonts w:ascii="Symbol" w:hAnsi="Symbol" w:hint="default"/>
      </w:rPr>
    </w:lvl>
    <w:lvl w:ilvl="4" w:tplc="B43CFE1C" w:tentative="1">
      <w:start w:val="1"/>
      <w:numFmt w:val="bullet"/>
      <w:lvlText w:val="o"/>
      <w:lvlJc w:val="left"/>
      <w:pPr>
        <w:ind w:left="3600" w:hanging="360"/>
      </w:pPr>
      <w:rPr>
        <w:rFonts w:ascii="Courier New" w:hAnsi="Courier New" w:cs="Courier New" w:hint="default"/>
      </w:rPr>
    </w:lvl>
    <w:lvl w:ilvl="5" w:tplc="443E716A" w:tentative="1">
      <w:start w:val="1"/>
      <w:numFmt w:val="bullet"/>
      <w:lvlText w:val=""/>
      <w:lvlJc w:val="left"/>
      <w:pPr>
        <w:ind w:left="4320" w:hanging="360"/>
      </w:pPr>
      <w:rPr>
        <w:rFonts w:ascii="Wingdings" w:hAnsi="Wingdings" w:hint="default"/>
      </w:rPr>
    </w:lvl>
    <w:lvl w:ilvl="6" w:tplc="921A5B74" w:tentative="1">
      <w:start w:val="1"/>
      <w:numFmt w:val="bullet"/>
      <w:lvlText w:val=""/>
      <w:lvlJc w:val="left"/>
      <w:pPr>
        <w:ind w:left="5040" w:hanging="360"/>
      </w:pPr>
      <w:rPr>
        <w:rFonts w:ascii="Symbol" w:hAnsi="Symbol" w:hint="default"/>
      </w:rPr>
    </w:lvl>
    <w:lvl w:ilvl="7" w:tplc="D76E3950" w:tentative="1">
      <w:start w:val="1"/>
      <w:numFmt w:val="bullet"/>
      <w:lvlText w:val="o"/>
      <w:lvlJc w:val="left"/>
      <w:pPr>
        <w:ind w:left="5760" w:hanging="360"/>
      </w:pPr>
      <w:rPr>
        <w:rFonts w:ascii="Courier New" w:hAnsi="Courier New" w:cs="Courier New" w:hint="default"/>
      </w:rPr>
    </w:lvl>
    <w:lvl w:ilvl="8" w:tplc="3D983D5A" w:tentative="1">
      <w:start w:val="1"/>
      <w:numFmt w:val="bullet"/>
      <w:lvlText w:val=""/>
      <w:lvlJc w:val="left"/>
      <w:pPr>
        <w:ind w:left="6480" w:hanging="360"/>
      </w:pPr>
      <w:rPr>
        <w:rFonts w:ascii="Wingdings" w:hAnsi="Wingdings" w:hint="default"/>
      </w:rPr>
    </w:lvl>
  </w:abstractNum>
  <w:num w:numId="1">
    <w:abstractNumId w:val="37"/>
  </w:num>
  <w:num w:numId="2">
    <w:abstractNumId w:val="45"/>
  </w:num>
  <w:num w:numId="3">
    <w:abstractNumId w:val="62"/>
  </w:num>
  <w:num w:numId="4">
    <w:abstractNumId w:val="57"/>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3"/>
  </w:num>
  <w:num w:numId="26">
    <w:abstractNumId w:val="32"/>
  </w:num>
  <w:num w:numId="27">
    <w:abstractNumId w:val="44"/>
  </w:num>
  <w:num w:numId="28">
    <w:abstractNumId w:val="24"/>
  </w:num>
  <w:num w:numId="29">
    <w:abstractNumId w:val="60"/>
  </w:num>
  <w:num w:numId="30">
    <w:abstractNumId w:val="50"/>
  </w:num>
  <w:num w:numId="31">
    <w:abstractNumId w:val="36"/>
  </w:num>
  <w:num w:numId="32">
    <w:abstractNumId w:val="25"/>
  </w:num>
  <w:num w:numId="33">
    <w:abstractNumId w:val="28"/>
  </w:num>
  <w:num w:numId="34">
    <w:abstractNumId w:val="46"/>
  </w:num>
  <w:num w:numId="35">
    <w:abstractNumId w:val="27"/>
  </w:num>
  <w:num w:numId="36">
    <w:abstractNumId w:val="66"/>
  </w:num>
  <w:num w:numId="37">
    <w:abstractNumId w:val="67"/>
  </w:num>
  <w:num w:numId="38">
    <w:abstractNumId w:val="38"/>
  </w:num>
  <w:num w:numId="39">
    <w:abstractNumId w:val="58"/>
  </w:num>
  <w:num w:numId="40">
    <w:abstractNumId w:val="30"/>
  </w:num>
  <w:num w:numId="41">
    <w:abstractNumId w:val="52"/>
  </w:num>
  <w:num w:numId="42">
    <w:abstractNumId w:val="65"/>
  </w:num>
  <w:num w:numId="43">
    <w:abstractNumId w:val="26"/>
  </w:num>
  <w:num w:numId="44">
    <w:abstractNumId w:val="53"/>
  </w:num>
  <w:num w:numId="45">
    <w:abstractNumId w:val="68"/>
  </w:num>
  <w:num w:numId="46">
    <w:abstractNumId w:val="23"/>
  </w:num>
  <w:num w:numId="47">
    <w:abstractNumId w:val="47"/>
  </w:num>
  <w:num w:numId="48">
    <w:abstractNumId w:val="21"/>
  </w:num>
  <w:num w:numId="49">
    <w:abstractNumId w:val="41"/>
  </w:num>
  <w:num w:numId="50">
    <w:abstractNumId w:val="64"/>
  </w:num>
  <w:num w:numId="51">
    <w:abstractNumId w:val="49"/>
  </w:num>
  <w:num w:numId="52">
    <w:abstractNumId w:val="39"/>
  </w:num>
  <w:num w:numId="53">
    <w:abstractNumId w:val="29"/>
  </w:num>
  <w:num w:numId="54">
    <w:abstractNumId w:val="42"/>
  </w:num>
  <w:num w:numId="55">
    <w:abstractNumId w:val="51"/>
  </w:num>
  <w:num w:numId="56">
    <w:abstractNumId w:val="63"/>
  </w:num>
  <w:num w:numId="57">
    <w:abstractNumId w:val="22"/>
  </w:num>
  <w:num w:numId="58">
    <w:abstractNumId w:val="20"/>
  </w:num>
  <w:num w:numId="59">
    <w:abstractNumId w:val="59"/>
  </w:num>
  <w:num w:numId="60">
    <w:abstractNumId w:val="55"/>
  </w:num>
  <w:num w:numId="61">
    <w:abstractNumId w:val="34"/>
  </w:num>
  <w:num w:numId="62">
    <w:abstractNumId w:val="56"/>
  </w:num>
  <w:num w:numId="63">
    <w:abstractNumId w:val="40"/>
  </w:num>
  <w:num w:numId="64">
    <w:abstractNumId w:val="31"/>
  </w:num>
  <w:num w:numId="65">
    <w:abstractNumId w:val="54"/>
  </w:num>
  <w:num w:numId="66">
    <w:abstractNumId w:val="33"/>
  </w:num>
  <w:num w:numId="67">
    <w:abstractNumId w:val="48"/>
  </w:num>
  <w:num w:numId="68">
    <w:abstractNumId w:val="61"/>
  </w:num>
  <w:num w:numId="69">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B1"/>
    <w:rsid w:val="00000CF0"/>
    <w:rsid w:val="000034CF"/>
    <w:rsid w:val="0000423F"/>
    <w:rsid w:val="000075BB"/>
    <w:rsid w:val="0001006C"/>
    <w:rsid w:val="00014BC6"/>
    <w:rsid w:val="000164DE"/>
    <w:rsid w:val="00016BFC"/>
    <w:rsid w:val="000172B1"/>
    <w:rsid w:val="00017457"/>
    <w:rsid w:val="0002096E"/>
    <w:rsid w:val="00022205"/>
    <w:rsid w:val="00023451"/>
    <w:rsid w:val="000243BC"/>
    <w:rsid w:val="00026F92"/>
    <w:rsid w:val="00027979"/>
    <w:rsid w:val="00030D31"/>
    <w:rsid w:val="00031863"/>
    <w:rsid w:val="00032F64"/>
    <w:rsid w:val="00034EE8"/>
    <w:rsid w:val="000364CA"/>
    <w:rsid w:val="00040F23"/>
    <w:rsid w:val="00041DD4"/>
    <w:rsid w:val="00044880"/>
    <w:rsid w:val="0004507C"/>
    <w:rsid w:val="00046795"/>
    <w:rsid w:val="00050E09"/>
    <w:rsid w:val="00051038"/>
    <w:rsid w:val="00052149"/>
    <w:rsid w:val="000532FD"/>
    <w:rsid w:val="000541C4"/>
    <w:rsid w:val="00055EAF"/>
    <w:rsid w:val="00061C5C"/>
    <w:rsid w:val="0006442C"/>
    <w:rsid w:val="00064548"/>
    <w:rsid w:val="00065DEA"/>
    <w:rsid w:val="00070EE4"/>
    <w:rsid w:val="00073036"/>
    <w:rsid w:val="00073373"/>
    <w:rsid w:val="00074748"/>
    <w:rsid w:val="00076748"/>
    <w:rsid w:val="00081711"/>
    <w:rsid w:val="000824A1"/>
    <w:rsid w:val="00085B68"/>
    <w:rsid w:val="00086072"/>
    <w:rsid w:val="0009483F"/>
    <w:rsid w:val="000965AB"/>
    <w:rsid w:val="0009720D"/>
    <w:rsid w:val="00097406"/>
    <w:rsid w:val="000A142D"/>
    <w:rsid w:val="000A30CA"/>
    <w:rsid w:val="000A3C2B"/>
    <w:rsid w:val="000B0355"/>
    <w:rsid w:val="000B21D9"/>
    <w:rsid w:val="000B2F7C"/>
    <w:rsid w:val="000B3BD7"/>
    <w:rsid w:val="000B4881"/>
    <w:rsid w:val="000B736E"/>
    <w:rsid w:val="000C0378"/>
    <w:rsid w:val="000C0926"/>
    <w:rsid w:val="000C11CE"/>
    <w:rsid w:val="000C1F54"/>
    <w:rsid w:val="000C2BF8"/>
    <w:rsid w:val="000C2C58"/>
    <w:rsid w:val="000C38F9"/>
    <w:rsid w:val="000C7D20"/>
    <w:rsid w:val="000D1CBB"/>
    <w:rsid w:val="000D497C"/>
    <w:rsid w:val="000D50C9"/>
    <w:rsid w:val="000D5259"/>
    <w:rsid w:val="000D6DD2"/>
    <w:rsid w:val="000E5F23"/>
    <w:rsid w:val="000E68A8"/>
    <w:rsid w:val="000F1B57"/>
    <w:rsid w:val="000F1C5A"/>
    <w:rsid w:val="000F2273"/>
    <w:rsid w:val="000F285B"/>
    <w:rsid w:val="000F6858"/>
    <w:rsid w:val="001049F4"/>
    <w:rsid w:val="0010607E"/>
    <w:rsid w:val="001063F7"/>
    <w:rsid w:val="00106D5C"/>
    <w:rsid w:val="00111D94"/>
    <w:rsid w:val="001205E6"/>
    <w:rsid w:val="00121033"/>
    <w:rsid w:val="0012453D"/>
    <w:rsid w:val="00126A3F"/>
    <w:rsid w:val="00127876"/>
    <w:rsid w:val="00132420"/>
    <w:rsid w:val="001351AD"/>
    <w:rsid w:val="0013563D"/>
    <w:rsid w:val="001372AC"/>
    <w:rsid w:val="00141041"/>
    <w:rsid w:val="00141CB1"/>
    <w:rsid w:val="001434B6"/>
    <w:rsid w:val="00146B0A"/>
    <w:rsid w:val="00147403"/>
    <w:rsid w:val="0015120A"/>
    <w:rsid w:val="00151269"/>
    <w:rsid w:val="0015199A"/>
    <w:rsid w:val="00151DED"/>
    <w:rsid w:val="00153653"/>
    <w:rsid w:val="00155094"/>
    <w:rsid w:val="00155C15"/>
    <w:rsid w:val="00156DF9"/>
    <w:rsid w:val="001579B7"/>
    <w:rsid w:val="001617B5"/>
    <w:rsid w:val="00162233"/>
    <w:rsid w:val="00162F2E"/>
    <w:rsid w:val="00163DE9"/>
    <w:rsid w:val="001646E3"/>
    <w:rsid w:val="00164D45"/>
    <w:rsid w:val="001670B6"/>
    <w:rsid w:val="00172F86"/>
    <w:rsid w:val="00174E2F"/>
    <w:rsid w:val="00175BF8"/>
    <w:rsid w:val="00182E76"/>
    <w:rsid w:val="0018378A"/>
    <w:rsid w:val="0018418B"/>
    <w:rsid w:val="00184621"/>
    <w:rsid w:val="00184C9B"/>
    <w:rsid w:val="00185324"/>
    <w:rsid w:val="00185BD7"/>
    <w:rsid w:val="00185CF5"/>
    <w:rsid w:val="001868F3"/>
    <w:rsid w:val="00187CF9"/>
    <w:rsid w:val="00190912"/>
    <w:rsid w:val="00192A57"/>
    <w:rsid w:val="00193CD3"/>
    <w:rsid w:val="00194B8F"/>
    <w:rsid w:val="001958EB"/>
    <w:rsid w:val="00195EB8"/>
    <w:rsid w:val="00196676"/>
    <w:rsid w:val="0019740B"/>
    <w:rsid w:val="00197975"/>
    <w:rsid w:val="00197DD9"/>
    <w:rsid w:val="001A10D5"/>
    <w:rsid w:val="001A1C32"/>
    <w:rsid w:val="001B09E4"/>
    <w:rsid w:val="001B0A6A"/>
    <w:rsid w:val="001B752C"/>
    <w:rsid w:val="001C1714"/>
    <w:rsid w:val="001C3295"/>
    <w:rsid w:val="001C4DB8"/>
    <w:rsid w:val="001C50D4"/>
    <w:rsid w:val="001C59E7"/>
    <w:rsid w:val="001C5EE9"/>
    <w:rsid w:val="001C653B"/>
    <w:rsid w:val="001C6C4E"/>
    <w:rsid w:val="001D445B"/>
    <w:rsid w:val="001E3770"/>
    <w:rsid w:val="001E4F94"/>
    <w:rsid w:val="001E7D89"/>
    <w:rsid w:val="001F0413"/>
    <w:rsid w:val="001F0CEB"/>
    <w:rsid w:val="001F10BF"/>
    <w:rsid w:val="001F1623"/>
    <w:rsid w:val="001F1E45"/>
    <w:rsid w:val="001F3C48"/>
    <w:rsid w:val="001F4AA2"/>
    <w:rsid w:val="001F53BA"/>
    <w:rsid w:val="001F60B7"/>
    <w:rsid w:val="001F6AFA"/>
    <w:rsid w:val="002004E6"/>
    <w:rsid w:val="00200B8F"/>
    <w:rsid w:val="002066DD"/>
    <w:rsid w:val="00206E54"/>
    <w:rsid w:val="002073A8"/>
    <w:rsid w:val="0020755A"/>
    <w:rsid w:val="00210489"/>
    <w:rsid w:val="002109ED"/>
    <w:rsid w:val="00212891"/>
    <w:rsid w:val="002149F6"/>
    <w:rsid w:val="00215ACF"/>
    <w:rsid w:val="002163C9"/>
    <w:rsid w:val="00216B69"/>
    <w:rsid w:val="002175DF"/>
    <w:rsid w:val="00217DAE"/>
    <w:rsid w:val="00221145"/>
    <w:rsid w:val="0022125B"/>
    <w:rsid w:val="002215CB"/>
    <w:rsid w:val="002235C3"/>
    <w:rsid w:val="00224ACD"/>
    <w:rsid w:val="002254B7"/>
    <w:rsid w:val="00225502"/>
    <w:rsid w:val="00226502"/>
    <w:rsid w:val="00226B8C"/>
    <w:rsid w:val="00230460"/>
    <w:rsid w:val="00230E64"/>
    <w:rsid w:val="0023341B"/>
    <w:rsid w:val="00234C38"/>
    <w:rsid w:val="00237C45"/>
    <w:rsid w:val="00237F9C"/>
    <w:rsid w:val="002405FF"/>
    <w:rsid w:val="00243B3A"/>
    <w:rsid w:val="00245C36"/>
    <w:rsid w:val="002502F5"/>
    <w:rsid w:val="0025090C"/>
    <w:rsid w:val="0025146D"/>
    <w:rsid w:val="0025194C"/>
    <w:rsid w:val="0025371B"/>
    <w:rsid w:val="0025456F"/>
    <w:rsid w:val="00254D13"/>
    <w:rsid w:val="00256B8D"/>
    <w:rsid w:val="002606B0"/>
    <w:rsid w:val="002643B4"/>
    <w:rsid w:val="00264D6C"/>
    <w:rsid w:val="0026517A"/>
    <w:rsid w:val="002674B0"/>
    <w:rsid w:val="00267EF4"/>
    <w:rsid w:val="00271957"/>
    <w:rsid w:val="00273483"/>
    <w:rsid w:val="00273D58"/>
    <w:rsid w:val="00274C53"/>
    <w:rsid w:val="00280DE3"/>
    <w:rsid w:val="00281268"/>
    <w:rsid w:val="00283758"/>
    <w:rsid w:val="00284669"/>
    <w:rsid w:val="00285572"/>
    <w:rsid w:val="00286604"/>
    <w:rsid w:val="00287242"/>
    <w:rsid w:val="0029129F"/>
    <w:rsid w:val="00294667"/>
    <w:rsid w:val="00294843"/>
    <w:rsid w:val="002958B8"/>
    <w:rsid w:val="0029615B"/>
    <w:rsid w:val="00296A7A"/>
    <w:rsid w:val="00296BB2"/>
    <w:rsid w:val="002A0170"/>
    <w:rsid w:val="002A1672"/>
    <w:rsid w:val="002A1E86"/>
    <w:rsid w:val="002A34A1"/>
    <w:rsid w:val="002A64B0"/>
    <w:rsid w:val="002A7277"/>
    <w:rsid w:val="002B0417"/>
    <w:rsid w:val="002B099D"/>
    <w:rsid w:val="002B2E58"/>
    <w:rsid w:val="002B5173"/>
    <w:rsid w:val="002C15D0"/>
    <w:rsid w:val="002C1922"/>
    <w:rsid w:val="002C1E44"/>
    <w:rsid w:val="002C224D"/>
    <w:rsid w:val="002C3F5A"/>
    <w:rsid w:val="002C7A27"/>
    <w:rsid w:val="002D070F"/>
    <w:rsid w:val="002D194F"/>
    <w:rsid w:val="002D49D4"/>
    <w:rsid w:val="002D5897"/>
    <w:rsid w:val="002D59B6"/>
    <w:rsid w:val="002D6CA5"/>
    <w:rsid w:val="002E0459"/>
    <w:rsid w:val="002E1031"/>
    <w:rsid w:val="002E2133"/>
    <w:rsid w:val="002E4E77"/>
    <w:rsid w:val="002E5A99"/>
    <w:rsid w:val="002E6457"/>
    <w:rsid w:val="002E6823"/>
    <w:rsid w:val="002F0B7B"/>
    <w:rsid w:val="002F12B1"/>
    <w:rsid w:val="002F162A"/>
    <w:rsid w:val="002F1B7B"/>
    <w:rsid w:val="002F1ED4"/>
    <w:rsid w:val="002F24D3"/>
    <w:rsid w:val="002F2A19"/>
    <w:rsid w:val="002F3D47"/>
    <w:rsid w:val="002F42BE"/>
    <w:rsid w:val="0030085B"/>
    <w:rsid w:val="003068DC"/>
    <w:rsid w:val="003172A0"/>
    <w:rsid w:val="00321065"/>
    <w:rsid w:val="00325B40"/>
    <w:rsid w:val="00327CB7"/>
    <w:rsid w:val="00330E88"/>
    <w:rsid w:val="00332326"/>
    <w:rsid w:val="00332ABF"/>
    <w:rsid w:val="00334CDF"/>
    <w:rsid w:val="0034221C"/>
    <w:rsid w:val="00342AF9"/>
    <w:rsid w:val="003434D8"/>
    <w:rsid w:val="00344427"/>
    <w:rsid w:val="003448BC"/>
    <w:rsid w:val="00347F81"/>
    <w:rsid w:val="003511AF"/>
    <w:rsid w:val="00351961"/>
    <w:rsid w:val="00351A41"/>
    <w:rsid w:val="003525A0"/>
    <w:rsid w:val="00352AEF"/>
    <w:rsid w:val="00352FB8"/>
    <w:rsid w:val="00355E19"/>
    <w:rsid w:val="00357304"/>
    <w:rsid w:val="003576AD"/>
    <w:rsid w:val="00362914"/>
    <w:rsid w:val="00363051"/>
    <w:rsid w:val="00363E3F"/>
    <w:rsid w:val="003652E4"/>
    <w:rsid w:val="00365743"/>
    <w:rsid w:val="00365861"/>
    <w:rsid w:val="00365A09"/>
    <w:rsid w:val="00365D21"/>
    <w:rsid w:val="00370186"/>
    <w:rsid w:val="003706AD"/>
    <w:rsid w:val="003710F2"/>
    <w:rsid w:val="00373443"/>
    <w:rsid w:val="0037393E"/>
    <w:rsid w:val="00375AA4"/>
    <w:rsid w:val="00376006"/>
    <w:rsid w:val="00381856"/>
    <w:rsid w:val="00382854"/>
    <w:rsid w:val="00382F41"/>
    <w:rsid w:val="00383AD7"/>
    <w:rsid w:val="00383B0F"/>
    <w:rsid w:val="003866DC"/>
    <w:rsid w:val="00390941"/>
    <w:rsid w:val="00390A92"/>
    <w:rsid w:val="00392EC8"/>
    <w:rsid w:val="00392FD0"/>
    <w:rsid w:val="00393BCE"/>
    <w:rsid w:val="003968C0"/>
    <w:rsid w:val="00396AA4"/>
    <w:rsid w:val="00396D90"/>
    <w:rsid w:val="00397291"/>
    <w:rsid w:val="003A0911"/>
    <w:rsid w:val="003A1561"/>
    <w:rsid w:val="003A209E"/>
    <w:rsid w:val="003B039A"/>
    <w:rsid w:val="003B0E35"/>
    <w:rsid w:val="003B4AC3"/>
    <w:rsid w:val="003B7FB5"/>
    <w:rsid w:val="003C07E6"/>
    <w:rsid w:val="003C209C"/>
    <w:rsid w:val="003C3861"/>
    <w:rsid w:val="003C618D"/>
    <w:rsid w:val="003C683E"/>
    <w:rsid w:val="003C6927"/>
    <w:rsid w:val="003C6F35"/>
    <w:rsid w:val="003C714C"/>
    <w:rsid w:val="003C75FF"/>
    <w:rsid w:val="003C7A3D"/>
    <w:rsid w:val="003D1CDA"/>
    <w:rsid w:val="003D2655"/>
    <w:rsid w:val="003D2B4E"/>
    <w:rsid w:val="003D4280"/>
    <w:rsid w:val="003D5E5F"/>
    <w:rsid w:val="003D62FB"/>
    <w:rsid w:val="003D67AA"/>
    <w:rsid w:val="003D7E33"/>
    <w:rsid w:val="003E0C63"/>
    <w:rsid w:val="003E1A1A"/>
    <w:rsid w:val="003E2CDB"/>
    <w:rsid w:val="003E4A76"/>
    <w:rsid w:val="003E5852"/>
    <w:rsid w:val="003E6E91"/>
    <w:rsid w:val="003E7699"/>
    <w:rsid w:val="003E7A9F"/>
    <w:rsid w:val="003F0C1A"/>
    <w:rsid w:val="003F133B"/>
    <w:rsid w:val="003F152D"/>
    <w:rsid w:val="003F2675"/>
    <w:rsid w:val="003F2B85"/>
    <w:rsid w:val="003F3932"/>
    <w:rsid w:val="003F4B6C"/>
    <w:rsid w:val="003F6BFA"/>
    <w:rsid w:val="003F7CBC"/>
    <w:rsid w:val="0040050C"/>
    <w:rsid w:val="004007E9"/>
    <w:rsid w:val="00401879"/>
    <w:rsid w:val="004021F1"/>
    <w:rsid w:val="00402B61"/>
    <w:rsid w:val="00402E75"/>
    <w:rsid w:val="00403711"/>
    <w:rsid w:val="00405175"/>
    <w:rsid w:val="00412124"/>
    <w:rsid w:val="0041299E"/>
    <w:rsid w:val="00412FFD"/>
    <w:rsid w:val="00414000"/>
    <w:rsid w:val="00414412"/>
    <w:rsid w:val="00415E1A"/>
    <w:rsid w:val="0041701E"/>
    <w:rsid w:val="00417984"/>
    <w:rsid w:val="00421449"/>
    <w:rsid w:val="004217A4"/>
    <w:rsid w:val="0042196C"/>
    <w:rsid w:val="004274AD"/>
    <w:rsid w:val="0043008F"/>
    <w:rsid w:val="00430431"/>
    <w:rsid w:val="00430CD2"/>
    <w:rsid w:val="00432829"/>
    <w:rsid w:val="00434564"/>
    <w:rsid w:val="004363A2"/>
    <w:rsid w:val="0043780D"/>
    <w:rsid w:val="00441233"/>
    <w:rsid w:val="004412D1"/>
    <w:rsid w:val="0044300E"/>
    <w:rsid w:val="004434CC"/>
    <w:rsid w:val="0044467E"/>
    <w:rsid w:val="00445E04"/>
    <w:rsid w:val="004536C0"/>
    <w:rsid w:val="00453E31"/>
    <w:rsid w:val="00456D41"/>
    <w:rsid w:val="00457E4D"/>
    <w:rsid w:val="004603BA"/>
    <w:rsid w:val="00461F22"/>
    <w:rsid w:val="00462C04"/>
    <w:rsid w:val="004658FB"/>
    <w:rsid w:val="004765CA"/>
    <w:rsid w:val="00480516"/>
    <w:rsid w:val="0048190C"/>
    <w:rsid w:val="00485B3A"/>
    <w:rsid w:val="004864C6"/>
    <w:rsid w:val="004921E0"/>
    <w:rsid w:val="00494903"/>
    <w:rsid w:val="004963AA"/>
    <w:rsid w:val="004A106C"/>
    <w:rsid w:val="004A201F"/>
    <w:rsid w:val="004A354F"/>
    <w:rsid w:val="004B0B1D"/>
    <w:rsid w:val="004B1040"/>
    <w:rsid w:val="004B223C"/>
    <w:rsid w:val="004B4006"/>
    <w:rsid w:val="004B67DE"/>
    <w:rsid w:val="004B712F"/>
    <w:rsid w:val="004B7380"/>
    <w:rsid w:val="004B798F"/>
    <w:rsid w:val="004C0793"/>
    <w:rsid w:val="004C07BA"/>
    <w:rsid w:val="004C0C03"/>
    <w:rsid w:val="004C0D8C"/>
    <w:rsid w:val="004C1522"/>
    <w:rsid w:val="004C5D42"/>
    <w:rsid w:val="004C6D70"/>
    <w:rsid w:val="004C7762"/>
    <w:rsid w:val="004C7A45"/>
    <w:rsid w:val="004D45E6"/>
    <w:rsid w:val="004D4C03"/>
    <w:rsid w:val="004D55AC"/>
    <w:rsid w:val="004D5C20"/>
    <w:rsid w:val="004E04CB"/>
    <w:rsid w:val="004E0F8E"/>
    <w:rsid w:val="004E35E3"/>
    <w:rsid w:val="004E6C83"/>
    <w:rsid w:val="004E6C9C"/>
    <w:rsid w:val="004E7009"/>
    <w:rsid w:val="004F00CC"/>
    <w:rsid w:val="004F05D5"/>
    <w:rsid w:val="004F05F9"/>
    <w:rsid w:val="004F0C21"/>
    <w:rsid w:val="004F2082"/>
    <w:rsid w:val="004F472C"/>
    <w:rsid w:val="004F5B2F"/>
    <w:rsid w:val="004F6B54"/>
    <w:rsid w:val="00500F18"/>
    <w:rsid w:val="00503439"/>
    <w:rsid w:val="00503F69"/>
    <w:rsid w:val="0050654F"/>
    <w:rsid w:val="00506BBC"/>
    <w:rsid w:val="00507CE5"/>
    <w:rsid w:val="005115C9"/>
    <w:rsid w:val="0051404E"/>
    <w:rsid w:val="00517932"/>
    <w:rsid w:val="005205F4"/>
    <w:rsid w:val="00521D75"/>
    <w:rsid w:val="005225AA"/>
    <w:rsid w:val="00523039"/>
    <w:rsid w:val="00524126"/>
    <w:rsid w:val="00524C64"/>
    <w:rsid w:val="005251A9"/>
    <w:rsid w:val="00525D8B"/>
    <w:rsid w:val="00525DF8"/>
    <w:rsid w:val="00525E80"/>
    <w:rsid w:val="0052666E"/>
    <w:rsid w:val="00527705"/>
    <w:rsid w:val="00527DBC"/>
    <w:rsid w:val="00531B8F"/>
    <w:rsid w:val="00533BC4"/>
    <w:rsid w:val="00533C0C"/>
    <w:rsid w:val="00533DB8"/>
    <w:rsid w:val="00534FBD"/>
    <w:rsid w:val="00537EE4"/>
    <w:rsid w:val="005413B5"/>
    <w:rsid w:val="00542098"/>
    <w:rsid w:val="00543453"/>
    <w:rsid w:val="005444CD"/>
    <w:rsid w:val="00545829"/>
    <w:rsid w:val="00547C6E"/>
    <w:rsid w:val="00551288"/>
    <w:rsid w:val="00555234"/>
    <w:rsid w:val="00556032"/>
    <w:rsid w:val="005562A6"/>
    <w:rsid w:val="00557D0C"/>
    <w:rsid w:val="00561681"/>
    <w:rsid w:val="00561FFC"/>
    <w:rsid w:val="00562BF9"/>
    <w:rsid w:val="005631B5"/>
    <w:rsid w:val="00563CC1"/>
    <w:rsid w:val="00567C6D"/>
    <w:rsid w:val="00572FD8"/>
    <w:rsid w:val="00573546"/>
    <w:rsid w:val="00574687"/>
    <w:rsid w:val="00576D11"/>
    <w:rsid w:val="00577CEF"/>
    <w:rsid w:val="00577F4A"/>
    <w:rsid w:val="00580A4C"/>
    <w:rsid w:val="005821CC"/>
    <w:rsid w:val="00582796"/>
    <w:rsid w:val="0058320E"/>
    <w:rsid w:val="005877FC"/>
    <w:rsid w:val="00590025"/>
    <w:rsid w:val="00591F34"/>
    <w:rsid w:val="00592042"/>
    <w:rsid w:val="005925E4"/>
    <w:rsid w:val="00594C12"/>
    <w:rsid w:val="005955B8"/>
    <w:rsid w:val="0059632A"/>
    <w:rsid w:val="00596CCD"/>
    <w:rsid w:val="00597476"/>
    <w:rsid w:val="005A102F"/>
    <w:rsid w:val="005A2E30"/>
    <w:rsid w:val="005A50F7"/>
    <w:rsid w:val="005A5361"/>
    <w:rsid w:val="005A6ACE"/>
    <w:rsid w:val="005B19A5"/>
    <w:rsid w:val="005B219B"/>
    <w:rsid w:val="005B29AF"/>
    <w:rsid w:val="005B444B"/>
    <w:rsid w:val="005B50B4"/>
    <w:rsid w:val="005B5F7B"/>
    <w:rsid w:val="005C2430"/>
    <w:rsid w:val="005C2CBE"/>
    <w:rsid w:val="005C4042"/>
    <w:rsid w:val="005D1E3E"/>
    <w:rsid w:val="005D5808"/>
    <w:rsid w:val="005E0FBA"/>
    <w:rsid w:val="005E20C3"/>
    <w:rsid w:val="005E6520"/>
    <w:rsid w:val="005F1243"/>
    <w:rsid w:val="005F3075"/>
    <w:rsid w:val="005F34A8"/>
    <w:rsid w:val="005F35B7"/>
    <w:rsid w:val="005F5776"/>
    <w:rsid w:val="005F66E9"/>
    <w:rsid w:val="00600C35"/>
    <w:rsid w:val="00603503"/>
    <w:rsid w:val="006058ED"/>
    <w:rsid w:val="006079BE"/>
    <w:rsid w:val="00611276"/>
    <w:rsid w:val="0061170E"/>
    <w:rsid w:val="00617CE8"/>
    <w:rsid w:val="00620B55"/>
    <w:rsid w:val="006230B5"/>
    <w:rsid w:val="00624FF4"/>
    <w:rsid w:val="00626DB7"/>
    <w:rsid w:val="00627592"/>
    <w:rsid w:val="006276F3"/>
    <w:rsid w:val="00632414"/>
    <w:rsid w:val="006340E7"/>
    <w:rsid w:val="0063762C"/>
    <w:rsid w:val="00637DF9"/>
    <w:rsid w:val="00641B4C"/>
    <w:rsid w:val="00641D80"/>
    <w:rsid w:val="00642697"/>
    <w:rsid w:val="0064282E"/>
    <w:rsid w:val="0064289F"/>
    <w:rsid w:val="00642D26"/>
    <w:rsid w:val="00643852"/>
    <w:rsid w:val="006445BF"/>
    <w:rsid w:val="00644878"/>
    <w:rsid w:val="00655CA7"/>
    <w:rsid w:val="0065734B"/>
    <w:rsid w:val="00660C09"/>
    <w:rsid w:val="00660E00"/>
    <w:rsid w:val="00662477"/>
    <w:rsid w:val="0066393E"/>
    <w:rsid w:val="006651BB"/>
    <w:rsid w:val="006654C7"/>
    <w:rsid w:val="00665801"/>
    <w:rsid w:val="00665CAC"/>
    <w:rsid w:val="00666023"/>
    <w:rsid w:val="006717D0"/>
    <w:rsid w:val="00671E89"/>
    <w:rsid w:val="0067239D"/>
    <w:rsid w:val="006737DF"/>
    <w:rsid w:val="00674FF6"/>
    <w:rsid w:val="0067527B"/>
    <w:rsid w:val="0067549B"/>
    <w:rsid w:val="0067644F"/>
    <w:rsid w:val="00676A3E"/>
    <w:rsid w:val="00677C9C"/>
    <w:rsid w:val="006802C0"/>
    <w:rsid w:val="00681586"/>
    <w:rsid w:val="00681EE8"/>
    <w:rsid w:val="006845C0"/>
    <w:rsid w:val="00684B44"/>
    <w:rsid w:val="00685049"/>
    <w:rsid w:val="00690F07"/>
    <w:rsid w:val="00693548"/>
    <w:rsid w:val="00693F47"/>
    <w:rsid w:val="00694130"/>
    <w:rsid w:val="0069446A"/>
    <w:rsid w:val="00694CE8"/>
    <w:rsid w:val="006957FF"/>
    <w:rsid w:val="006964C8"/>
    <w:rsid w:val="006A1CCE"/>
    <w:rsid w:val="006A3222"/>
    <w:rsid w:val="006A43CF"/>
    <w:rsid w:val="006A4F1C"/>
    <w:rsid w:val="006A6177"/>
    <w:rsid w:val="006A64B1"/>
    <w:rsid w:val="006A7176"/>
    <w:rsid w:val="006B1E5F"/>
    <w:rsid w:val="006B3F52"/>
    <w:rsid w:val="006B4AF1"/>
    <w:rsid w:val="006B6A57"/>
    <w:rsid w:val="006C07DF"/>
    <w:rsid w:val="006C25B2"/>
    <w:rsid w:val="006C2819"/>
    <w:rsid w:val="006C2D5D"/>
    <w:rsid w:val="006C50B5"/>
    <w:rsid w:val="006C6BE9"/>
    <w:rsid w:val="006C6C2B"/>
    <w:rsid w:val="006D06A8"/>
    <w:rsid w:val="006D2C5A"/>
    <w:rsid w:val="006D32F1"/>
    <w:rsid w:val="006D49D8"/>
    <w:rsid w:val="006D6B3B"/>
    <w:rsid w:val="006D758B"/>
    <w:rsid w:val="006E0C0E"/>
    <w:rsid w:val="006E0F80"/>
    <w:rsid w:val="006E5B54"/>
    <w:rsid w:val="006E6689"/>
    <w:rsid w:val="006E6FB1"/>
    <w:rsid w:val="006E7A97"/>
    <w:rsid w:val="006F12FD"/>
    <w:rsid w:val="006F1DAB"/>
    <w:rsid w:val="006F2CE8"/>
    <w:rsid w:val="006F74D5"/>
    <w:rsid w:val="0070128A"/>
    <w:rsid w:val="00704341"/>
    <w:rsid w:val="0070602E"/>
    <w:rsid w:val="00706EE4"/>
    <w:rsid w:val="007105C7"/>
    <w:rsid w:val="00710940"/>
    <w:rsid w:val="007114A0"/>
    <w:rsid w:val="007132D0"/>
    <w:rsid w:val="007147E5"/>
    <w:rsid w:val="007157C6"/>
    <w:rsid w:val="0071675F"/>
    <w:rsid w:val="0071757B"/>
    <w:rsid w:val="00717D94"/>
    <w:rsid w:val="00717F4F"/>
    <w:rsid w:val="0072077C"/>
    <w:rsid w:val="007221BD"/>
    <w:rsid w:val="00723040"/>
    <w:rsid w:val="00724AB8"/>
    <w:rsid w:val="00726042"/>
    <w:rsid w:val="007272D0"/>
    <w:rsid w:val="007272EA"/>
    <w:rsid w:val="00730339"/>
    <w:rsid w:val="007320EB"/>
    <w:rsid w:val="00732309"/>
    <w:rsid w:val="00733167"/>
    <w:rsid w:val="007336B1"/>
    <w:rsid w:val="00734388"/>
    <w:rsid w:val="00735826"/>
    <w:rsid w:val="00737295"/>
    <w:rsid w:val="007375C3"/>
    <w:rsid w:val="0073773E"/>
    <w:rsid w:val="007403AC"/>
    <w:rsid w:val="00740FE3"/>
    <w:rsid w:val="00742DA7"/>
    <w:rsid w:val="007447AD"/>
    <w:rsid w:val="00744843"/>
    <w:rsid w:val="00746866"/>
    <w:rsid w:val="0074745E"/>
    <w:rsid w:val="00750E6B"/>
    <w:rsid w:val="00754F63"/>
    <w:rsid w:val="00755151"/>
    <w:rsid w:val="0075743F"/>
    <w:rsid w:val="00757C13"/>
    <w:rsid w:val="00760F3F"/>
    <w:rsid w:val="007670E8"/>
    <w:rsid w:val="00767B08"/>
    <w:rsid w:val="00770160"/>
    <w:rsid w:val="007708A8"/>
    <w:rsid w:val="00771451"/>
    <w:rsid w:val="00772210"/>
    <w:rsid w:val="00772DDE"/>
    <w:rsid w:val="0077327B"/>
    <w:rsid w:val="00775FFA"/>
    <w:rsid w:val="00777DD8"/>
    <w:rsid w:val="00777FB0"/>
    <w:rsid w:val="007812CC"/>
    <w:rsid w:val="00791D15"/>
    <w:rsid w:val="00793402"/>
    <w:rsid w:val="00795FEE"/>
    <w:rsid w:val="007A01F4"/>
    <w:rsid w:val="007A4D52"/>
    <w:rsid w:val="007A5EEE"/>
    <w:rsid w:val="007A63FC"/>
    <w:rsid w:val="007A78E0"/>
    <w:rsid w:val="007A78FF"/>
    <w:rsid w:val="007B1436"/>
    <w:rsid w:val="007B145B"/>
    <w:rsid w:val="007B386D"/>
    <w:rsid w:val="007B4ED7"/>
    <w:rsid w:val="007B65DB"/>
    <w:rsid w:val="007B68A8"/>
    <w:rsid w:val="007B6955"/>
    <w:rsid w:val="007B7E71"/>
    <w:rsid w:val="007C1AEC"/>
    <w:rsid w:val="007C1E4D"/>
    <w:rsid w:val="007C2DC5"/>
    <w:rsid w:val="007C38C1"/>
    <w:rsid w:val="007C4683"/>
    <w:rsid w:val="007C537D"/>
    <w:rsid w:val="007C5401"/>
    <w:rsid w:val="007C6F13"/>
    <w:rsid w:val="007C7D67"/>
    <w:rsid w:val="007D0D5A"/>
    <w:rsid w:val="007D287F"/>
    <w:rsid w:val="007D2E6B"/>
    <w:rsid w:val="007D682F"/>
    <w:rsid w:val="007D6D77"/>
    <w:rsid w:val="007D70B0"/>
    <w:rsid w:val="007D7C63"/>
    <w:rsid w:val="007E1140"/>
    <w:rsid w:val="007E25C6"/>
    <w:rsid w:val="007E2AC5"/>
    <w:rsid w:val="007E561D"/>
    <w:rsid w:val="007E6585"/>
    <w:rsid w:val="007F21FD"/>
    <w:rsid w:val="007F2209"/>
    <w:rsid w:val="007F3001"/>
    <w:rsid w:val="007F698D"/>
    <w:rsid w:val="007F7150"/>
    <w:rsid w:val="007F7718"/>
    <w:rsid w:val="00801970"/>
    <w:rsid w:val="00801A6E"/>
    <w:rsid w:val="00803EDB"/>
    <w:rsid w:val="00803F12"/>
    <w:rsid w:val="00804705"/>
    <w:rsid w:val="00806588"/>
    <w:rsid w:val="008117C3"/>
    <w:rsid w:val="00812801"/>
    <w:rsid w:val="00812BBE"/>
    <w:rsid w:val="0081540A"/>
    <w:rsid w:val="00815B47"/>
    <w:rsid w:val="00815CC0"/>
    <w:rsid w:val="00820455"/>
    <w:rsid w:val="008210EB"/>
    <w:rsid w:val="00821DC1"/>
    <w:rsid w:val="00822330"/>
    <w:rsid w:val="00823275"/>
    <w:rsid w:val="00824C3D"/>
    <w:rsid w:val="00825D2D"/>
    <w:rsid w:val="0082661F"/>
    <w:rsid w:val="0082685A"/>
    <w:rsid w:val="008312A1"/>
    <w:rsid w:val="00831F5E"/>
    <w:rsid w:val="00834D11"/>
    <w:rsid w:val="00835161"/>
    <w:rsid w:val="008355D6"/>
    <w:rsid w:val="008357EF"/>
    <w:rsid w:val="008362FD"/>
    <w:rsid w:val="008369B0"/>
    <w:rsid w:val="00841B8B"/>
    <w:rsid w:val="0084542D"/>
    <w:rsid w:val="0084596D"/>
    <w:rsid w:val="008465B9"/>
    <w:rsid w:val="00846ED0"/>
    <w:rsid w:val="008472D1"/>
    <w:rsid w:val="00847D92"/>
    <w:rsid w:val="00851E14"/>
    <w:rsid w:val="0085375A"/>
    <w:rsid w:val="00853DDF"/>
    <w:rsid w:val="008547F7"/>
    <w:rsid w:val="0085626B"/>
    <w:rsid w:val="00860405"/>
    <w:rsid w:val="008605E8"/>
    <w:rsid w:val="00860FA3"/>
    <w:rsid w:val="00862935"/>
    <w:rsid w:val="00862D0B"/>
    <w:rsid w:val="00863253"/>
    <w:rsid w:val="00863D8C"/>
    <w:rsid w:val="00865AE6"/>
    <w:rsid w:val="00873E3B"/>
    <w:rsid w:val="00876A65"/>
    <w:rsid w:val="00876BE1"/>
    <w:rsid w:val="00880279"/>
    <w:rsid w:val="008804AA"/>
    <w:rsid w:val="00882049"/>
    <w:rsid w:val="00882672"/>
    <w:rsid w:val="00882AD8"/>
    <w:rsid w:val="00885907"/>
    <w:rsid w:val="0089535A"/>
    <w:rsid w:val="008970A2"/>
    <w:rsid w:val="008A001F"/>
    <w:rsid w:val="008A1F7A"/>
    <w:rsid w:val="008A2D85"/>
    <w:rsid w:val="008A34F2"/>
    <w:rsid w:val="008A626A"/>
    <w:rsid w:val="008A6649"/>
    <w:rsid w:val="008A67E6"/>
    <w:rsid w:val="008A7019"/>
    <w:rsid w:val="008A77D4"/>
    <w:rsid w:val="008B0C7D"/>
    <w:rsid w:val="008B1C88"/>
    <w:rsid w:val="008B22AA"/>
    <w:rsid w:val="008B32C3"/>
    <w:rsid w:val="008B41F0"/>
    <w:rsid w:val="008B5416"/>
    <w:rsid w:val="008B6AA0"/>
    <w:rsid w:val="008B6C71"/>
    <w:rsid w:val="008B7253"/>
    <w:rsid w:val="008B75E2"/>
    <w:rsid w:val="008B7F32"/>
    <w:rsid w:val="008C014F"/>
    <w:rsid w:val="008C0F76"/>
    <w:rsid w:val="008C2D10"/>
    <w:rsid w:val="008C7147"/>
    <w:rsid w:val="008D188E"/>
    <w:rsid w:val="008D3D2C"/>
    <w:rsid w:val="008D4F9C"/>
    <w:rsid w:val="008D61A2"/>
    <w:rsid w:val="008E236F"/>
    <w:rsid w:val="008E29EE"/>
    <w:rsid w:val="008E2D30"/>
    <w:rsid w:val="008E2E9B"/>
    <w:rsid w:val="008E7241"/>
    <w:rsid w:val="008F39F1"/>
    <w:rsid w:val="008F450D"/>
    <w:rsid w:val="009016F2"/>
    <w:rsid w:val="00903F3A"/>
    <w:rsid w:val="009047FD"/>
    <w:rsid w:val="00905314"/>
    <w:rsid w:val="0090632F"/>
    <w:rsid w:val="009067A2"/>
    <w:rsid w:val="00906E0C"/>
    <w:rsid w:val="00907177"/>
    <w:rsid w:val="00907FF0"/>
    <w:rsid w:val="00910C94"/>
    <w:rsid w:val="00911248"/>
    <w:rsid w:val="009122EE"/>
    <w:rsid w:val="0091319E"/>
    <w:rsid w:val="009139D6"/>
    <w:rsid w:val="00914B15"/>
    <w:rsid w:val="00916E74"/>
    <w:rsid w:val="009175C7"/>
    <w:rsid w:val="009202A9"/>
    <w:rsid w:val="00921782"/>
    <w:rsid w:val="0092226C"/>
    <w:rsid w:val="009222A3"/>
    <w:rsid w:val="009225C7"/>
    <w:rsid w:val="00922B98"/>
    <w:rsid w:val="0092506D"/>
    <w:rsid w:val="00926E6F"/>
    <w:rsid w:val="00927FCC"/>
    <w:rsid w:val="00931AF3"/>
    <w:rsid w:val="00932279"/>
    <w:rsid w:val="00933031"/>
    <w:rsid w:val="00936DB8"/>
    <w:rsid w:val="00940AAE"/>
    <w:rsid w:val="009412D6"/>
    <w:rsid w:val="00943F89"/>
    <w:rsid w:val="00945683"/>
    <w:rsid w:val="00945B6C"/>
    <w:rsid w:val="009531A7"/>
    <w:rsid w:val="00956850"/>
    <w:rsid w:val="0096041B"/>
    <w:rsid w:val="00962B95"/>
    <w:rsid w:val="00962BF3"/>
    <w:rsid w:val="009635C3"/>
    <w:rsid w:val="0096662D"/>
    <w:rsid w:val="009666BD"/>
    <w:rsid w:val="00972551"/>
    <w:rsid w:val="0097301F"/>
    <w:rsid w:val="009733C6"/>
    <w:rsid w:val="009756F3"/>
    <w:rsid w:val="0097578C"/>
    <w:rsid w:val="00975D64"/>
    <w:rsid w:val="00976603"/>
    <w:rsid w:val="0098093B"/>
    <w:rsid w:val="009812C8"/>
    <w:rsid w:val="00981890"/>
    <w:rsid w:val="00984262"/>
    <w:rsid w:val="009853BA"/>
    <w:rsid w:val="00985EAE"/>
    <w:rsid w:val="00985F38"/>
    <w:rsid w:val="009900C8"/>
    <w:rsid w:val="00990CAC"/>
    <w:rsid w:val="0099264D"/>
    <w:rsid w:val="00992B9C"/>
    <w:rsid w:val="00993804"/>
    <w:rsid w:val="00993C2F"/>
    <w:rsid w:val="00993EEE"/>
    <w:rsid w:val="009953C9"/>
    <w:rsid w:val="009A1AE9"/>
    <w:rsid w:val="009A2C68"/>
    <w:rsid w:val="009A30F8"/>
    <w:rsid w:val="009A4C3F"/>
    <w:rsid w:val="009B0D75"/>
    <w:rsid w:val="009B2D7D"/>
    <w:rsid w:val="009B47DF"/>
    <w:rsid w:val="009B49B0"/>
    <w:rsid w:val="009B5202"/>
    <w:rsid w:val="009B537D"/>
    <w:rsid w:val="009D12DC"/>
    <w:rsid w:val="009D1615"/>
    <w:rsid w:val="009D2324"/>
    <w:rsid w:val="009D263F"/>
    <w:rsid w:val="009D2FBE"/>
    <w:rsid w:val="009D3730"/>
    <w:rsid w:val="009D3C14"/>
    <w:rsid w:val="009D53E0"/>
    <w:rsid w:val="009D7C30"/>
    <w:rsid w:val="009E08F1"/>
    <w:rsid w:val="009E09D9"/>
    <w:rsid w:val="009E0C45"/>
    <w:rsid w:val="009E12EC"/>
    <w:rsid w:val="009E1BDD"/>
    <w:rsid w:val="009E2653"/>
    <w:rsid w:val="009E29E1"/>
    <w:rsid w:val="009E3193"/>
    <w:rsid w:val="009E3AF4"/>
    <w:rsid w:val="009E47DD"/>
    <w:rsid w:val="009E58C0"/>
    <w:rsid w:val="009E6292"/>
    <w:rsid w:val="009F429E"/>
    <w:rsid w:val="009F4394"/>
    <w:rsid w:val="009F4C92"/>
    <w:rsid w:val="009F7353"/>
    <w:rsid w:val="009F739F"/>
    <w:rsid w:val="009F7584"/>
    <w:rsid w:val="009F7F0C"/>
    <w:rsid w:val="00A07550"/>
    <w:rsid w:val="00A07956"/>
    <w:rsid w:val="00A129FB"/>
    <w:rsid w:val="00A1384D"/>
    <w:rsid w:val="00A14075"/>
    <w:rsid w:val="00A14237"/>
    <w:rsid w:val="00A15F93"/>
    <w:rsid w:val="00A16010"/>
    <w:rsid w:val="00A22302"/>
    <w:rsid w:val="00A25884"/>
    <w:rsid w:val="00A26FCE"/>
    <w:rsid w:val="00A30200"/>
    <w:rsid w:val="00A30493"/>
    <w:rsid w:val="00A3246B"/>
    <w:rsid w:val="00A34AB0"/>
    <w:rsid w:val="00A34B46"/>
    <w:rsid w:val="00A35044"/>
    <w:rsid w:val="00A354E2"/>
    <w:rsid w:val="00A3702C"/>
    <w:rsid w:val="00A37906"/>
    <w:rsid w:val="00A41042"/>
    <w:rsid w:val="00A414C1"/>
    <w:rsid w:val="00A437E3"/>
    <w:rsid w:val="00A46122"/>
    <w:rsid w:val="00A47A79"/>
    <w:rsid w:val="00A5003E"/>
    <w:rsid w:val="00A51CEF"/>
    <w:rsid w:val="00A55566"/>
    <w:rsid w:val="00A6107E"/>
    <w:rsid w:val="00A611B0"/>
    <w:rsid w:val="00A61583"/>
    <w:rsid w:val="00A62AD8"/>
    <w:rsid w:val="00A64795"/>
    <w:rsid w:val="00A648F9"/>
    <w:rsid w:val="00A6673C"/>
    <w:rsid w:val="00A670F2"/>
    <w:rsid w:val="00A71C17"/>
    <w:rsid w:val="00A72F75"/>
    <w:rsid w:val="00A7608E"/>
    <w:rsid w:val="00A77D8F"/>
    <w:rsid w:val="00A814BD"/>
    <w:rsid w:val="00A822DC"/>
    <w:rsid w:val="00A849A7"/>
    <w:rsid w:val="00A8531E"/>
    <w:rsid w:val="00A87DE9"/>
    <w:rsid w:val="00A90330"/>
    <w:rsid w:val="00A90B33"/>
    <w:rsid w:val="00A90EB9"/>
    <w:rsid w:val="00A91A8F"/>
    <w:rsid w:val="00A91AD9"/>
    <w:rsid w:val="00A96E59"/>
    <w:rsid w:val="00A96F5B"/>
    <w:rsid w:val="00A971B3"/>
    <w:rsid w:val="00AA0991"/>
    <w:rsid w:val="00AA29D0"/>
    <w:rsid w:val="00AB16C0"/>
    <w:rsid w:val="00AB27B1"/>
    <w:rsid w:val="00AB3982"/>
    <w:rsid w:val="00AB5726"/>
    <w:rsid w:val="00AB5C6B"/>
    <w:rsid w:val="00AB5E12"/>
    <w:rsid w:val="00AB6A4E"/>
    <w:rsid w:val="00AB73C3"/>
    <w:rsid w:val="00AC1EA5"/>
    <w:rsid w:val="00AC5C5C"/>
    <w:rsid w:val="00AC6861"/>
    <w:rsid w:val="00AD0B4C"/>
    <w:rsid w:val="00AD593E"/>
    <w:rsid w:val="00AD64C7"/>
    <w:rsid w:val="00AD7661"/>
    <w:rsid w:val="00AE205A"/>
    <w:rsid w:val="00AE3FB6"/>
    <w:rsid w:val="00AE4ACF"/>
    <w:rsid w:val="00AE4F16"/>
    <w:rsid w:val="00AE55DC"/>
    <w:rsid w:val="00AE6923"/>
    <w:rsid w:val="00AE6991"/>
    <w:rsid w:val="00AE76A9"/>
    <w:rsid w:val="00AF06B3"/>
    <w:rsid w:val="00AF1625"/>
    <w:rsid w:val="00AF63CE"/>
    <w:rsid w:val="00AF6610"/>
    <w:rsid w:val="00AF6C0A"/>
    <w:rsid w:val="00AF768A"/>
    <w:rsid w:val="00AF7E60"/>
    <w:rsid w:val="00AF7F41"/>
    <w:rsid w:val="00B03730"/>
    <w:rsid w:val="00B04604"/>
    <w:rsid w:val="00B10E2A"/>
    <w:rsid w:val="00B111ED"/>
    <w:rsid w:val="00B129DE"/>
    <w:rsid w:val="00B12B6D"/>
    <w:rsid w:val="00B13659"/>
    <w:rsid w:val="00B139A5"/>
    <w:rsid w:val="00B1569F"/>
    <w:rsid w:val="00B15A76"/>
    <w:rsid w:val="00B1669B"/>
    <w:rsid w:val="00B23E71"/>
    <w:rsid w:val="00B30F7D"/>
    <w:rsid w:val="00B31461"/>
    <w:rsid w:val="00B32767"/>
    <w:rsid w:val="00B327DE"/>
    <w:rsid w:val="00B364F1"/>
    <w:rsid w:val="00B36AED"/>
    <w:rsid w:val="00B37C8D"/>
    <w:rsid w:val="00B400DE"/>
    <w:rsid w:val="00B40618"/>
    <w:rsid w:val="00B44C25"/>
    <w:rsid w:val="00B44E93"/>
    <w:rsid w:val="00B4660F"/>
    <w:rsid w:val="00B4799E"/>
    <w:rsid w:val="00B47C84"/>
    <w:rsid w:val="00B50DF7"/>
    <w:rsid w:val="00B51E08"/>
    <w:rsid w:val="00B524C4"/>
    <w:rsid w:val="00B52870"/>
    <w:rsid w:val="00B52B25"/>
    <w:rsid w:val="00B532A8"/>
    <w:rsid w:val="00B5474F"/>
    <w:rsid w:val="00B5491F"/>
    <w:rsid w:val="00B60362"/>
    <w:rsid w:val="00B60E3E"/>
    <w:rsid w:val="00B60F34"/>
    <w:rsid w:val="00B61F72"/>
    <w:rsid w:val="00B62453"/>
    <w:rsid w:val="00B62BB4"/>
    <w:rsid w:val="00B62C6A"/>
    <w:rsid w:val="00B639C4"/>
    <w:rsid w:val="00B647A5"/>
    <w:rsid w:val="00B707FD"/>
    <w:rsid w:val="00B70D4F"/>
    <w:rsid w:val="00B72E9C"/>
    <w:rsid w:val="00B7328D"/>
    <w:rsid w:val="00B759B1"/>
    <w:rsid w:val="00B75FAE"/>
    <w:rsid w:val="00B7669D"/>
    <w:rsid w:val="00B777C1"/>
    <w:rsid w:val="00B8188E"/>
    <w:rsid w:val="00B826B7"/>
    <w:rsid w:val="00B82DF5"/>
    <w:rsid w:val="00B84C4A"/>
    <w:rsid w:val="00B90D04"/>
    <w:rsid w:val="00B93DDB"/>
    <w:rsid w:val="00B949C9"/>
    <w:rsid w:val="00B94E54"/>
    <w:rsid w:val="00BA2C76"/>
    <w:rsid w:val="00BA3872"/>
    <w:rsid w:val="00BA3C7A"/>
    <w:rsid w:val="00BA40FA"/>
    <w:rsid w:val="00BA6F42"/>
    <w:rsid w:val="00BA7C1E"/>
    <w:rsid w:val="00BB6383"/>
    <w:rsid w:val="00BC1490"/>
    <w:rsid w:val="00BC2ACD"/>
    <w:rsid w:val="00BC34F3"/>
    <w:rsid w:val="00BC4D73"/>
    <w:rsid w:val="00BD0290"/>
    <w:rsid w:val="00BD1502"/>
    <w:rsid w:val="00BD2082"/>
    <w:rsid w:val="00BD48D4"/>
    <w:rsid w:val="00BD4F7B"/>
    <w:rsid w:val="00BD5093"/>
    <w:rsid w:val="00BD56A6"/>
    <w:rsid w:val="00BD5759"/>
    <w:rsid w:val="00BD5838"/>
    <w:rsid w:val="00BD5F87"/>
    <w:rsid w:val="00BD706E"/>
    <w:rsid w:val="00BD7D36"/>
    <w:rsid w:val="00BE1F67"/>
    <w:rsid w:val="00BE25B2"/>
    <w:rsid w:val="00BE39AF"/>
    <w:rsid w:val="00BE4BE9"/>
    <w:rsid w:val="00BE50F1"/>
    <w:rsid w:val="00BF00BB"/>
    <w:rsid w:val="00BF025F"/>
    <w:rsid w:val="00BF0B9E"/>
    <w:rsid w:val="00BF0E97"/>
    <w:rsid w:val="00BF4423"/>
    <w:rsid w:val="00BF4F13"/>
    <w:rsid w:val="00C05736"/>
    <w:rsid w:val="00C057CE"/>
    <w:rsid w:val="00C07D59"/>
    <w:rsid w:val="00C104C5"/>
    <w:rsid w:val="00C11D54"/>
    <w:rsid w:val="00C11EA9"/>
    <w:rsid w:val="00C12D20"/>
    <w:rsid w:val="00C12E36"/>
    <w:rsid w:val="00C12F05"/>
    <w:rsid w:val="00C152E9"/>
    <w:rsid w:val="00C1534B"/>
    <w:rsid w:val="00C16048"/>
    <w:rsid w:val="00C16125"/>
    <w:rsid w:val="00C2120E"/>
    <w:rsid w:val="00C22CCE"/>
    <w:rsid w:val="00C2556B"/>
    <w:rsid w:val="00C26DC7"/>
    <w:rsid w:val="00C314C9"/>
    <w:rsid w:val="00C32739"/>
    <w:rsid w:val="00C3436A"/>
    <w:rsid w:val="00C3537F"/>
    <w:rsid w:val="00C37259"/>
    <w:rsid w:val="00C41CE2"/>
    <w:rsid w:val="00C41DCD"/>
    <w:rsid w:val="00C42640"/>
    <w:rsid w:val="00C43A21"/>
    <w:rsid w:val="00C458AD"/>
    <w:rsid w:val="00C52256"/>
    <w:rsid w:val="00C5312E"/>
    <w:rsid w:val="00C54B17"/>
    <w:rsid w:val="00C54BEC"/>
    <w:rsid w:val="00C5657B"/>
    <w:rsid w:val="00C56AB1"/>
    <w:rsid w:val="00C600FD"/>
    <w:rsid w:val="00C604F5"/>
    <w:rsid w:val="00C61238"/>
    <w:rsid w:val="00C621CB"/>
    <w:rsid w:val="00C62826"/>
    <w:rsid w:val="00C62AAF"/>
    <w:rsid w:val="00C6447B"/>
    <w:rsid w:val="00C66B0F"/>
    <w:rsid w:val="00C67F28"/>
    <w:rsid w:val="00C7064F"/>
    <w:rsid w:val="00C70698"/>
    <w:rsid w:val="00C70954"/>
    <w:rsid w:val="00C71ADB"/>
    <w:rsid w:val="00C7477E"/>
    <w:rsid w:val="00C7650A"/>
    <w:rsid w:val="00C76601"/>
    <w:rsid w:val="00C77C3E"/>
    <w:rsid w:val="00C806E6"/>
    <w:rsid w:val="00C8206E"/>
    <w:rsid w:val="00C83643"/>
    <w:rsid w:val="00C83C0F"/>
    <w:rsid w:val="00C83D2E"/>
    <w:rsid w:val="00C83F56"/>
    <w:rsid w:val="00C87500"/>
    <w:rsid w:val="00C87541"/>
    <w:rsid w:val="00C87B15"/>
    <w:rsid w:val="00C904A5"/>
    <w:rsid w:val="00C91E80"/>
    <w:rsid w:val="00C93852"/>
    <w:rsid w:val="00C941E2"/>
    <w:rsid w:val="00C95D6C"/>
    <w:rsid w:val="00C961E8"/>
    <w:rsid w:val="00C97228"/>
    <w:rsid w:val="00C97A6C"/>
    <w:rsid w:val="00CA03B9"/>
    <w:rsid w:val="00CA2E6E"/>
    <w:rsid w:val="00CA2F35"/>
    <w:rsid w:val="00CA49AE"/>
    <w:rsid w:val="00CB049F"/>
    <w:rsid w:val="00CB0839"/>
    <w:rsid w:val="00CB0ADE"/>
    <w:rsid w:val="00CB1594"/>
    <w:rsid w:val="00CB1D42"/>
    <w:rsid w:val="00CB27E2"/>
    <w:rsid w:val="00CB2FF0"/>
    <w:rsid w:val="00CB33B2"/>
    <w:rsid w:val="00CB3E00"/>
    <w:rsid w:val="00CB4746"/>
    <w:rsid w:val="00CB48C2"/>
    <w:rsid w:val="00CB58CA"/>
    <w:rsid w:val="00CB6290"/>
    <w:rsid w:val="00CB6292"/>
    <w:rsid w:val="00CC001D"/>
    <w:rsid w:val="00CC09C6"/>
    <w:rsid w:val="00CC50E2"/>
    <w:rsid w:val="00CC7367"/>
    <w:rsid w:val="00CD4716"/>
    <w:rsid w:val="00CD6596"/>
    <w:rsid w:val="00CD6A79"/>
    <w:rsid w:val="00CE11EC"/>
    <w:rsid w:val="00CE1367"/>
    <w:rsid w:val="00CE3450"/>
    <w:rsid w:val="00CE37D7"/>
    <w:rsid w:val="00CE4EDC"/>
    <w:rsid w:val="00CE58BF"/>
    <w:rsid w:val="00CF1F53"/>
    <w:rsid w:val="00CF2D1C"/>
    <w:rsid w:val="00CF3DF2"/>
    <w:rsid w:val="00CF4160"/>
    <w:rsid w:val="00D003B9"/>
    <w:rsid w:val="00D018D1"/>
    <w:rsid w:val="00D01A34"/>
    <w:rsid w:val="00D04FC2"/>
    <w:rsid w:val="00D051BC"/>
    <w:rsid w:val="00D065FD"/>
    <w:rsid w:val="00D06CF0"/>
    <w:rsid w:val="00D07CEA"/>
    <w:rsid w:val="00D07D97"/>
    <w:rsid w:val="00D10794"/>
    <w:rsid w:val="00D11EC8"/>
    <w:rsid w:val="00D16EA5"/>
    <w:rsid w:val="00D20124"/>
    <w:rsid w:val="00D20938"/>
    <w:rsid w:val="00D20CEB"/>
    <w:rsid w:val="00D20DE1"/>
    <w:rsid w:val="00D21F4D"/>
    <w:rsid w:val="00D257BA"/>
    <w:rsid w:val="00D3188F"/>
    <w:rsid w:val="00D32790"/>
    <w:rsid w:val="00D36D78"/>
    <w:rsid w:val="00D409AA"/>
    <w:rsid w:val="00D427E0"/>
    <w:rsid w:val="00D457D1"/>
    <w:rsid w:val="00D46A27"/>
    <w:rsid w:val="00D47027"/>
    <w:rsid w:val="00D474ED"/>
    <w:rsid w:val="00D5007B"/>
    <w:rsid w:val="00D5381E"/>
    <w:rsid w:val="00D563EB"/>
    <w:rsid w:val="00D61388"/>
    <w:rsid w:val="00D6387F"/>
    <w:rsid w:val="00D67F76"/>
    <w:rsid w:val="00D703CE"/>
    <w:rsid w:val="00D71B6C"/>
    <w:rsid w:val="00D7406E"/>
    <w:rsid w:val="00D7648D"/>
    <w:rsid w:val="00D80827"/>
    <w:rsid w:val="00D80F2C"/>
    <w:rsid w:val="00D81049"/>
    <w:rsid w:val="00D812EC"/>
    <w:rsid w:val="00D8147F"/>
    <w:rsid w:val="00D82E57"/>
    <w:rsid w:val="00D83939"/>
    <w:rsid w:val="00D879FD"/>
    <w:rsid w:val="00D9156F"/>
    <w:rsid w:val="00D924B8"/>
    <w:rsid w:val="00D9305D"/>
    <w:rsid w:val="00D93FD8"/>
    <w:rsid w:val="00D94672"/>
    <w:rsid w:val="00D96530"/>
    <w:rsid w:val="00DA16E2"/>
    <w:rsid w:val="00DA3AB7"/>
    <w:rsid w:val="00DA54D4"/>
    <w:rsid w:val="00DA63A3"/>
    <w:rsid w:val="00DB2BD8"/>
    <w:rsid w:val="00DB3FCB"/>
    <w:rsid w:val="00DB7024"/>
    <w:rsid w:val="00DB763E"/>
    <w:rsid w:val="00DB7690"/>
    <w:rsid w:val="00DB783E"/>
    <w:rsid w:val="00DC02FB"/>
    <w:rsid w:val="00DC04A9"/>
    <w:rsid w:val="00DC2CB2"/>
    <w:rsid w:val="00DC5B8C"/>
    <w:rsid w:val="00DC5E60"/>
    <w:rsid w:val="00DC6CB5"/>
    <w:rsid w:val="00DD0EB3"/>
    <w:rsid w:val="00DD28F5"/>
    <w:rsid w:val="00DD434D"/>
    <w:rsid w:val="00DD5552"/>
    <w:rsid w:val="00DD6EB5"/>
    <w:rsid w:val="00DD7599"/>
    <w:rsid w:val="00DE0D03"/>
    <w:rsid w:val="00DE0DD6"/>
    <w:rsid w:val="00DE196F"/>
    <w:rsid w:val="00DE3A28"/>
    <w:rsid w:val="00DE55AE"/>
    <w:rsid w:val="00DE7124"/>
    <w:rsid w:val="00DF0B1C"/>
    <w:rsid w:val="00DF21EE"/>
    <w:rsid w:val="00DF2B37"/>
    <w:rsid w:val="00DF4AC7"/>
    <w:rsid w:val="00DF53E7"/>
    <w:rsid w:val="00DF6B20"/>
    <w:rsid w:val="00E00F98"/>
    <w:rsid w:val="00E01D1F"/>
    <w:rsid w:val="00E06450"/>
    <w:rsid w:val="00E07A8C"/>
    <w:rsid w:val="00E1093D"/>
    <w:rsid w:val="00E1345A"/>
    <w:rsid w:val="00E15F17"/>
    <w:rsid w:val="00E20885"/>
    <w:rsid w:val="00E21A87"/>
    <w:rsid w:val="00E238DF"/>
    <w:rsid w:val="00E32253"/>
    <w:rsid w:val="00E32EE1"/>
    <w:rsid w:val="00E33D96"/>
    <w:rsid w:val="00E34E85"/>
    <w:rsid w:val="00E35D48"/>
    <w:rsid w:val="00E37B79"/>
    <w:rsid w:val="00E40445"/>
    <w:rsid w:val="00E40B92"/>
    <w:rsid w:val="00E410D4"/>
    <w:rsid w:val="00E46D4A"/>
    <w:rsid w:val="00E476C3"/>
    <w:rsid w:val="00E5104A"/>
    <w:rsid w:val="00E527F6"/>
    <w:rsid w:val="00E53919"/>
    <w:rsid w:val="00E5490A"/>
    <w:rsid w:val="00E6393A"/>
    <w:rsid w:val="00E67CBD"/>
    <w:rsid w:val="00E71F6C"/>
    <w:rsid w:val="00E734F3"/>
    <w:rsid w:val="00E736FC"/>
    <w:rsid w:val="00E7483A"/>
    <w:rsid w:val="00E74E1C"/>
    <w:rsid w:val="00E776C5"/>
    <w:rsid w:val="00E77BE7"/>
    <w:rsid w:val="00E82F09"/>
    <w:rsid w:val="00E8487E"/>
    <w:rsid w:val="00E85E2F"/>
    <w:rsid w:val="00E85EAD"/>
    <w:rsid w:val="00E910FF"/>
    <w:rsid w:val="00E91265"/>
    <w:rsid w:val="00E91385"/>
    <w:rsid w:val="00E91425"/>
    <w:rsid w:val="00E9246B"/>
    <w:rsid w:val="00E931D8"/>
    <w:rsid w:val="00E937EA"/>
    <w:rsid w:val="00E94BF0"/>
    <w:rsid w:val="00E96CFC"/>
    <w:rsid w:val="00EA3A76"/>
    <w:rsid w:val="00EA508F"/>
    <w:rsid w:val="00EB10CD"/>
    <w:rsid w:val="00EB147D"/>
    <w:rsid w:val="00EB2D36"/>
    <w:rsid w:val="00EB3A75"/>
    <w:rsid w:val="00EB4ACC"/>
    <w:rsid w:val="00EB723F"/>
    <w:rsid w:val="00EC0510"/>
    <w:rsid w:val="00EC3371"/>
    <w:rsid w:val="00EC559F"/>
    <w:rsid w:val="00EC56C9"/>
    <w:rsid w:val="00EC6509"/>
    <w:rsid w:val="00ED1B01"/>
    <w:rsid w:val="00ED2249"/>
    <w:rsid w:val="00ED2D08"/>
    <w:rsid w:val="00ED33D7"/>
    <w:rsid w:val="00ED52FB"/>
    <w:rsid w:val="00ED7518"/>
    <w:rsid w:val="00EE402B"/>
    <w:rsid w:val="00EE7BEF"/>
    <w:rsid w:val="00EF3BE0"/>
    <w:rsid w:val="00EF558B"/>
    <w:rsid w:val="00EF6172"/>
    <w:rsid w:val="00EF6288"/>
    <w:rsid w:val="00EF7B02"/>
    <w:rsid w:val="00F00F0E"/>
    <w:rsid w:val="00F0308C"/>
    <w:rsid w:val="00F04633"/>
    <w:rsid w:val="00F04E35"/>
    <w:rsid w:val="00F05168"/>
    <w:rsid w:val="00F053E4"/>
    <w:rsid w:val="00F060FB"/>
    <w:rsid w:val="00F156C2"/>
    <w:rsid w:val="00F16E8C"/>
    <w:rsid w:val="00F2013E"/>
    <w:rsid w:val="00F204EB"/>
    <w:rsid w:val="00F21517"/>
    <w:rsid w:val="00F22496"/>
    <w:rsid w:val="00F22EBC"/>
    <w:rsid w:val="00F234C1"/>
    <w:rsid w:val="00F24123"/>
    <w:rsid w:val="00F25609"/>
    <w:rsid w:val="00F32055"/>
    <w:rsid w:val="00F324C4"/>
    <w:rsid w:val="00F33E4C"/>
    <w:rsid w:val="00F341A9"/>
    <w:rsid w:val="00F34E7F"/>
    <w:rsid w:val="00F35EDF"/>
    <w:rsid w:val="00F365DB"/>
    <w:rsid w:val="00F37F97"/>
    <w:rsid w:val="00F4130D"/>
    <w:rsid w:val="00F41BBE"/>
    <w:rsid w:val="00F4385A"/>
    <w:rsid w:val="00F44005"/>
    <w:rsid w:val="00F45625"/>
    <w:rsid w:val="00F47C7A"/>
    <w:rsid w:val="00F52983"/>
    <w:rsid w:val="00F541B5"/>
    <w:rsid w:val="00F566D9"/>
    <w:rsid w:val="00F573A4"/>
    <w:rsid w:val="00F573AD"/>
    <w:rsid w:val="00F6012B"/>
    <w:rsid w:val="00F6218C"/>
    <w:rsid w:val="00F62EFD"/>
    <w:rsid w:val="00F65638"/>
    <w:rsid w:val="00F65C70"/>
    <w:rsid w:val="00F66719"/>
    <w:rsid w:val="00F6702E"/>
    <w:rsid w:val="00F675B7"/>
    <w:rsid w:val="00F67E5B"/>
    <w:rsid w:val="00F71A32"/>
    <w:rsid w:val="00F71BFA"/>
    <w:rsid w:val="00F73DCF"/>
    <w:rsid w:val="00F7421F"/>
    <w:rsid w:val="00F76031"/>
    <w:rsid w:val="00F766E6"/>
    <w:rsid w:val="00F7740A"/>
    <w:rsid w:val="00F805BB"/>
    <w:rsid w:val="00F81A3C"/>
    <w:rsid w:val="00F828C4"/>
    <w:rsid w:val="00F83D62"/>
    <w:rsid w:val="00F865D8"/>
    <w:rsid w:val="00F87C8E"/>
    <w:rsid w:val="00F9392D"/>
    <w:rsid w:val="00F9646E"/>
    <w:rsid w:val="00F9756E"/>
    <w:rsid w:val="00FA0D54"/>
    <w:rsid w:val="00FA1855"/>
    <w:rsid w:val="00FA197C"/>
    <w:rsid w:val="00FA2A99"/>
    <w:rsid w:val="00FA3808"/>
    <w:rsid w:val="00FA383A"/>
    <w:rsid w:val="00FA4C6A"/>
    <w:rsid w:val="00FA5DFD"/>
    <w:rsid w:val="00FB01F2"/>
    <w:rsid w:val="00FB2358"/>
    <w:rsid w:val="00FB29A8"/>
    <w:rsid w:val="00FB2B4B"/>
    <w:rsid w:val="00FB55B5"/>
    <w:rsid w:val="00FB6A7A"/>
    <w:rsid w:val="00FB6E60"/>
    <w:rsid w:val="00FC16BD"/>
    <w:rsid w:val="00FC1D49"/>
    <w:rsid w:val="00FC1F14"/>
    <w:rsid w:val="00FC79FC"/>
    <w:rsid w:val="00FD0DA5"/>
    <w:rsid w:val="00FD26F8"/>
    <w:rsid w:val="00FD287F"/>
    <w:rsid w:val="00FD3565"/>
    <w:rsid w:val="00FD35DB"/>
    <w:rsid w:val="00FD38C2"/>
    <w:rsid w:val="00FD41FF"/>
    <w:rsid w:val="00FD4FB8"/>
    <w:rsid w:val="00FD6926"/>
    <w:rsid w:val="00FD6B5B"/>
    <w:rsid w:val="00FD7CC3"/>
    <w:rsid w:val="00FE0149"/>
    <w:rsid w:val="00FE0E80"/>
    <w:rsid w:val="00FE131C"/>
    <w:rsid w:val="00FE14C3"/>
    <w:rsid w:val="00FE257D"/>
    <w:rsid w:val="00FE2932"/>
    <w:rsid w:val="00FE2D75"/>
    <w:rsid w:val="00FE3E06"/>
    <w:rsid w:val="00FE64A0"/>
    <w:rsid w:val="00FE7CD9"/>
    <w:rsid w:val="00FF144A"/>
    <w:rsid w:val="00FF2AB7"/>
    <w:rsid w:val="00FF2AD3"/>
    <w:rsid w:val="00FF312C"/>
    <w:rsid w:val="00FF6352"/>
    <w:rsid w:val="01E6D4BE"/>
    <w:rsid w:val="03C66D1E"/>
    <w:rsid w:val="051E10D9"/>
    <w:rsid w:val="052B8081"/>
    <w:rsid w:val="05E1DD82"/>
    <w:rsid w:val="0631CF07"/>
    <w:rsid w:val="06386BD1"/>
    <w:rsid w:val="06B2C895"/>
    <w:rsid w:val="072ACB6E"/>
    <w:rsid w:val="07BF23F1"/>
    <w:rsid w:val="08C34C3B"/>
    <w:rsid w:val="09C83F9A"/>
    <w:rsid w:val="0AA26D0C"/>
    <w:rsid w:val="0B842A59"/>
    <w:rsid w:val="0C795563"/>
    <w:rsid w:val="0CFBF26B"/>
    <w:rsid w:val="0D43D98C"/>
    <w:rsid w:val="0E3BC16C"/>
    <w:rsid w:val="0E3F641F"/>
    <w:rsid w:val="100895C9"/>
    <w:rsid w:val="11E36B84"/>
    <w:rsid w:val="122CDD44"/>
    <w:rsid w:val="156821C5"/>
    <w:rsid w:val="1599F0D3"/>
    <w:rsid w:val="16993C49"/>
    <w:rsid w:val="16F6CE45"/>
    <w:rsid w:val="17107238"/>
    <w:rsid w:val="1AB632F6"/>
    <w:rsid w:val="1CE18055"/>
    <w:rsid w:val="1CFA113A"/>
    <w:rsid w:val="1D4041DB"/>
    <w:rsid w:val="1DB6FBA9"/>
    <w:rsid w:val="1ED722BA"/>
    <w:rsid w:val="1F990B1A"/>
    <w:rsid w:val="22B72CBB"/>
    <w:rsid w:val="22EF0A8B"/>
    <w:rsid w:val="239D4D35"/>
    <w:rsid w:val="247713F6"/>
    <w:rsid w:val="2536B32D"/>
    <w:rsid w:val="2546643E"/>
    <w:rsid w:val="25660E8F"/>
    <w:rsid w:val="27E076BA"/>
    <w:rsid w:val="294337BA"/>
    <w:rsid w:val="2ADE0270"/>
    <w:rsid w:val="2C88EA4A"/>
    <w:rsid w:val="2D45E7C5"/>
    <w:rsid w:val="2E25ADF4"/>
    <w:rsid w:val="3199F2DE"/>
    <w:rsid w:val="3200308B"/>
    <w:rsid w:val="36391206"/>
    <w:rsid w:val="36D3A1AE"/>
    <w:rsid w:val="372F9820"/>
    <w:rsid w:val="37C5AC57"/>
    <w:rsid w:val="39617CB8"/>
    <w:rsid w:val="3AF63474"/>
    <w:rsid w:val="3BE0F607"/>
    <w:rsid w:val="3CF1E002"/>
    <w:rsid w:val="3F3AC086"/>
    <w:rsid w:val="3FECA79B"/>
    <w:rsid w:val="41434C3B"/>
    <w:rsid w:val="41DD78D1"/>
    <w:rsid w:val="42669DFB"/>
    <w:rsid w:val="42BDA693"/>
    <w:rsid w:val="42DFBE7F"/>
    <w:rsid w:val="4626D763"/>
    <w:rsid w:val="46596D0A"/>
    <w:rsid w:val="468D153F"/>
    <w:rsid w:val="4697CDDD"/>
    <w:rsid w:val="4723A8AE"/>
    <w:rsid w:val="4854E45F"/>
    <w:rsid w:val="4A5CCA70"/>
    <w:rsid w:val="4B11394B"/>
    <w:rsid w:val="4B8E8B67"/>
    <w:rsid w:val="4CA35F8F"/>
    <w:rsid w:val="4D535A83"/>
    <w:rsid w:val="4E57C0D5"/>
    <w:rsid w:val="50137208"/>
    <w:rsid w:val="503360D9"/>
    <w:rsid w:val="51437C17"/>
    <w:rsid w:val="548E4228"/>
    <w:rsid w:val="54FDE886"/>
    <w:rsid w:val="552B71C3"/>
    <w:rsid w:val="552D6938"/>
    <w:rsid w:val="555E6C68"/>
    <w:rsid w:val="568A68FC"/>
    <w:rsid w:val="581A9977"/>
    <w:rsid w:val="5A69443E"/>
    <w:rsid w:val="5C397B82"/>
    <w:rsid w:val="5E0050E4"/>
    <w:rsid w:val="5F4916AD"/>
    <w:rsid w:val="601822E5"/>
    <w:rsid w:val="61BB4954"/>
    <w:rsid w:val="634FC3A7"/>
    <w:rsid w:val="6420548D"/>
    <w:rsid w:val="67567D9C"/>
    <w:rsid w:val="67A4A727"/>
    <w:rsid w:val="67D56177"/>
    <w:rsid w:val="67EAFB29"/>
    <w:rsid w:val="682908AA"/>
    <w:rsid w:val="6884169D"/>
    <w:rsid w:val="68ACBF96"/>
    <w:rsid w:val="6A5D2DD0"/>
    <w:rsid w:val="6BA5CEE6"/>
    <w:rsid w:val="6BF8FE31"/>
    <w:rsid w:val="6C5E7425"/>
    <w:rsid w:val="6C666D39"/>
    <w:rsid w:val="6CB0BE6F"/>
    <w:rsid w:val="6D94CE92"/>
    <w:rsid w:val="6EA0FBDF"/>
    <w:rsid w:val="6F40B8F8"/>
    <w:rsid w:val="6F59E155"/>
    <w:rsid w:val="6FC45640"/>
    <w:rsid w:val="6FE1F085"/>
    <w:rsid w:val="70EB27F1"/>
    <w:rsid w:val="718BE04C"/>
    <w:rsid w:val="72666EB5"/>
    <w:rsid w:val="73D21A66"/>
    <w:rsid w:val="747799B3"/>
    <w:rsid w:val="755EA82E"/>
    <w:rsid w:val="75CEB1B1"/>
    <w:rsid w:val="7693A36A"/>
    <w:rsid w:val="777732F0"/>
    <w:rsid w:val="7866BD4D"/>
    <w:rsid w:val="78B59770"/>
    <w:rsid w:val="78F4E1E6"/>
    <w:rsid w:val="7D747552"/>
    <w:rsid w:val="7D94BF57"/>
    <w:rsid w:val="7EA6AF2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5508B"/>
  <w15:docId w15:val="{E5866439-66EF-4CEF-B23E-8ECB5D7A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56C1A"/>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table" w:customStyle="1" w:styleId="TableGrid8">
    <w:name w:val="Table Grid8"/>
    <w:basedOn w:val="TableNormal"/>
    <w:next w:val="TableGrid"/>
    <w:uiPriority w:val="59"/>
    <w:rsid w:val="006805CF"/>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6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6D68E6"/>
  </w:style>
  <w:style w:type="paragraph" w:customStyle="1" w:styleId="Normal1">
    <w:name w:val="Normal1"/>
    <w:uiPriority w:val="99"/>
    <w:rsid w:val="00677ADA"/>
    <w:pPr>
      <w:spacing w:after="120"/>
      <w:jc w:val="both"/>
    </w:pPr>
    <w:rPr>
      <w:rFonts w:eastAsia="Arial" w:cs="Arial"/>
      <w:sz w:val="24"/>
      <w:szCs w:val="24"/>
    </w:rPr>
  </w:style>
  <w:style w:type="character" w:customStyle="1" w:styleId="normaltextrun">
    <w:name w:val="normaltextrun"/>
    <w:basedOn w:val="DefaultParagraphFont"/>
    <w:rsid w:val="00705430"/>
  </w:style>
  <w:style w:type="paragraph" w:customStyle="1" w:styleId="paragraph">
    <w:name w:val="paragraph"/>
    <w:basedOn w:val="Normal"/>
    <w:rsid w:val="00ED2D08"/>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eop">
    <w:name w:val="eop"/>
    <w:basedOn w:val="DefaultParagraphFont"/>
    <w:rsid w:val="00ED2D08"/>
  </w:style>
  <w:style w:type="character" w:customStyle="1" w:styleId="scxw50364463">
    <w:name w:val="scxw50364463"/>
    <w:basedOn w:val="DefaultParagraphFont"/>
    <w:rsid w:val="00ED2D08"/>
  </w:style>
  <w:style w:type="character" w:customStyle="1" w:styleId="UnresolvedMention1">
    <w:name w:val="Unresolved Mention1"/>
    <w:basedOn w:val="DefaultParagraphFont"/>
    <w:uiPriority w:val="99"/>
    <w:rsid w:val="00592042"/>
    <w:rPr>
      <w:color w:val="605E5C"/>
      <w:shd w:val="clear" w:color="auto" w:fill="E1DFDD"/>
    </w:rPr>
  </w:style>
  <w:style w:type="character" w:customStyle="1" w:styleId="Mention1">
    <w:name w:val="Mention1"/>
    <w:basedOn w:val="DefaultParagraphFont"/>
    <w:uiPriority w:val="99"/>
    <w:rsid w:val="0059204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ancashirecc-my.sharepoint.com/personal/john_howarth_lancashire_gov_uk/Documents/Desktop/Lcc%20overunder%20spend%20per%20cabinet%20quart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orpdata02.ad.lancscc.net\RES\ResourcesRestrictedPermissions\Schools%20Forum\Schools%20Forum\LSF\Meetings\Schools%20Forum\5%20July%202022\school%20balances%20graph%202021%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LCC under/overspend</a:t>
            </a:r>
            <a:r>
              <a:rPr lang="en-GB" b="1" baseline="0"/>
              <a:t> per Cabinet Quarter</a:t>
            </a:r>
          </a:p>
          <a:p>
            <a:pPr>
              <a:defRPr/>
            </a:pPr>
            <a:r>
              <a:rPr lang="en-GB" sz="1200" b="1" baseline="0"/>
              <a:t>Budget £881.413m</a:t>
            </a:r>
          </a:p>
          <a:p>
            <a:pPr>
              <a:defRPr/>
            </a:pPr>
            <a:r>
              <a:rPr lang="en-GB" sz="1200" b="1" baseline="0"/>
              <a:t>Outturn £851.490m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rgbClr val="3366CC">
                    <a:tint val="66000"/>
                    <a:satMod val="160000"/>
                  </a:srgbClr>
                </a:gs>
                <a:gs pos="50000">
                  <a:srgbClr val="3366CC">
                    <a:tint val="44500"/>
                    <a:satMod val="160000"/>
                  </a:srgbClr>
                </a:gs>
                <a:gs pos="100000">
                  <a:srgbClr val="3366CC">
                    <a:tint val="23500"/>
                    <a:satMod val="160000"/>
                  </a:srgbClr>
                </a:gs>
              </a:gsLst>
              <a:lin ang="162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Sheet1!$F$6:$I$6</c:f>
              <c:strCache>
                <c:ptCount val="4"/>
                <c:pt idx="0">
                  <c:v>Quarter 1</c:v>
                </c:pt>
                <c:pt idx="1">
                  <c:v>Quarter 2</c:v>
                </c:pt>
                <c:pt idx="2">
                  <c:v>Quarter 3</c:v>
                </c:pt>
                <c:pt idx="3">
                  <c:v>Quarter 4</c:v>
                </c:pt>
              </c:strCache>
            </c:strRef>
          </c:cat>
          <c:val>
            <c:numRef>
              <c:f>Sheet1!$F$7:$I$7</c:f>
              <c:numCache>
                <c:formatCode>General</c:formatCode>
                <c:ptCount val="4"/>
                <c:pt idx="0" formatCode="#,##0.000">
                  <c:v>-5.2190000000000003</c:v>
                </c:pt>
                <c:pt idx="1">
                  <c:v>-16.440999999999999</c:v>
                </c:pt>
                <c:pt idx="2">
                  <c:v>-23.454000000000001</c:v>
                </c:pt>
                <c:pt idx="3">
                  <c:v>-29.922999999999998</c:v>
                </c:pt>
              </c:numCache>
            </c:numRef>
          </c:val>
          <c:extLst>
            <c:ext xmlns:c16="http://schemas.microsoft.com/office/drawing/2014/chart" uri="{C3380CC4-5D6E-409C-BE32-E72D297353CC}">
              <c16:uniqueId val="{00000000-089B-4AD5-AF17-58BDB10A3123}"/>
            </c:ext>
          </c:extLst>
        </c:ser>
        <c:dLbls>
          <c:dLblPos val="outEnd"/>
          <c:showLegendKey val="0"/>
          <c:showVal val="1"/>
          <c:showCatName val="0"/>
          <c:showSerName val="0"/>
          <c:showPercent val="0"/>
          <c:showBubbleSize val="0"/>
        </c:dLbls>
        <c:gapWidth val="182"/>
        <c:axId val="2039190784"/>
        <c:axId val="2039196192"/>
      </c:barChart>
      <c:catAx>
        <c:axId val="203919078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39196192"/>
        <c:crosses val="autoZero"/>
        <c:auto val="1"/>
        <c:lblAlgn val="ctr"/>
        <c:lblOffset val="100"/>
        <c:noMultiLvlLbl val="0"/>
      </c:catAx>
      <c:valAx>
        <c:axId val="2039196192"/>
        <c:scaling>
          <c:orientation val="minMax"/>
        </c:scaling>
        <c:delete val="0"/>
        <c:axPos val="b"/>
        <c:majorGridlines>
          <c:spPr>
            <a:ln w="9525">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190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School Balances 2009/10 to 2021/22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delete val="1"/>
          </c:dLbls>
          <c:cat>
            <c:strRef>
              <c:f>graph!$B$3:$N$3</c:f>
              <c:strCache>
                <c:ptCount val="13"/>
                <c:pt idx="0">
                  <c:v>2009/10</c:v>
                </c:pt>
                <c:pt idx="1">
                  <c:v>2010/11</c:v>
                </c:pt>
                <c:pt idx="2">
                  <c:v>2011/12</c:v>
                </c:pt>
                <c:pt idx="3">
                  <c:v>2012/13</c:v>
                </c:pt>
                <c:pt idx="4">
                  <c:v>2013/14</c:v>
                </c:pt>
                <c:pt idx="5">
                  <c:v>2014/15</c:v>
                </c:pt>
                <c:pt idx="6">
                  <c:v>2015/16</c:v>
                </c:pt>
                <c:pt idx="7">
                  <c:v>2016/17</c:v>
                </c:pt>
                <c:pt idx="8">
                  <c:v>2017/18</c:v>
                </c:pt>
                <c:pt idx="9">
                  <c:v>2018/19</c:v>
                </c:pt>
                <c:pt idx="10">
                  <c:v>2019/20</c:v>
                </c:pt>
                <c:pt idx="11">
                  <c:v>2020/21</c:v>
                </c:pt>
                <c:pt idx="12">
                  <c:v>2021/22</c:v>
                </c:pt>
              </c:strCache>
            </c:strRef>
          </c:cat>
          <c:val>
            <c:numRef>
              <c:f>graph!$B$4:$N$4</c:f>
              <c:numCache>
                <c:formatCode>General</c:formatCode>
                <c:ptCount val="13"/>
                <c:pt idx="0">
                  <c:v>39.823</c:v>
                </c:pt>
                <c:pt idx="1">
                  <c:v>47.317</c:v>
                </c:pt>
                <c:pt idx="2">
                  <c:v>52.225000000000001</c:v>
                </c:pt>
                <c:pt idx="3">
                  <c:v>51.48</c:v>
                </c:pt>
                <c:pt idx="4">
                  <c:v>55.853999999999999</c:v>
                </c:pt>
                <c:pt idx="5">
                  <c:v>56.372999999999998</c:v>
                </c:pt>
                <c:pt idx="6">
                  <c:v>53.945999999999998</c:v>
                </c:pt>
                <c:pt idx="7">
                  <c:v>45.280999999999999</c:v>
                </c:pt>
                <c:pt idx="8">
                  <c:v>44.15</c:v>
                </c:pt>
                <c:pt idx="9">
                  <c:v>42.74</c:v>
                </c:pt>
                <c:pt idx="10">
                  <c:v>47.32</c:v>
                </c:pt>
                <c:pt idx="11">
                  <c:v>90.14</c:v>
                </c:pt>
                <c:pt idx="12">
                  <c:v>95.32</c:v>
                </c:pt>
              </c:numCache>
            </c:numRef>
          </c:val>
          <c:smooth val="0"/>
          <c:extLst>
            <c:ext xmlns:c16="http://schemas.microsoft.com/office/drawing/2014/chart" uri="{C3380CC4-5D6E-409C-BE32-E72D297353CC}">
              <c16:uniqueId val="{00000000-E157-4CF3-AFFB-D7913619BFC9}"/>
            </c:ext>
          </c:extLst>
        </c:ser>
        <c:dLbls>
          <c:dLblPos val="ctr"/>
          <c:showLegendKey val="0"/>
          <c:showVal val="1"/>
          <c:showCatName val="0"/>
          <c:showSerName val="0"/>
          <c:showPercent val="0"/>
          <c:showBubbleSize val="0"/>
        </c:dLbls>
        <c:marker val="1"/>
        <c:smooth val="0"/>
        <c:axId val="282889808"/>
        <c:axId val="282890200"/>
      </c:lineChart>
      <c:catAx>
        <c:axId val="2828898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Finacial Year</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82890200"/>
        <c:crosses val="autoZero"/>
        <c:auto val="1"/>
        <c:lblAlgn val="ctr"/>
        <c:lblOffset val="100"/>
        <c:noMultiLvlLbl val="0"/>
      </c:catAx>
      <c:valAx>
        <c:axId val="282890200"/>
        <c:scaling>
          <c:orientation val="minMax"/>
        </c:scaling>
        <c:delete val="0"/>
        <c:axPos val="l"/>
        <c:majorGridlines>
          <c:spPr>
            <a:ln w="9525">
              <a:gradFill rotWithShape="1">
                <a:gsLst>
                  <a:gs pos="0">
                    <a:schemeClr val="lt1">
                      <a:lumMod val="75000"/>
                      <a:alpha val="36000"/>
                    </a:schemeClr>
                  </a:gs>
                  <a:gs pos="100000">
                    <a:schemeClr val="dk1">
                      <a:lumMod val="95000"/>
                      <a:lumOff val="5000"/>
                      <a:alpha val="42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  end aggregate school balances (£m)</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82889808"/>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1">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1">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0" ma:contentTypeDescription="Create a new document." ma:contentTypeScope="" ma:versionID="6370ccc9a04f6306a76f795900372ebe">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cbead27cc856449a50a20bd4555aece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3E0CE-A30F-4688-92E6-BA92595FADE5}">
  <ds:schemaRefs>
    <ds:schemaRef ds:uri="http://schemas.openxmlformats.org/officeDocument/2006/bibliography"/>
  </ds:schemaRefs>
</ds:datastoreItem>
</file>

<file path=customXml/itemProps2.xml><?xml version="1.0" encoding="utf-8"?>
<ds:datastoreItem xmlns:ds="http://schemas.openxmlformats.org/officeDocument/2006/customXml" ds:itemID="{0598EBA8-E918-438F-BF58-06B142ABB760}">
  <ds:schemaRefs>
    <ds:schemaRef ds:uri="http://schemas.microsoft.com/sharepoint/v3/contenttype/forms"/>
  </ds:schemaRefs>
</ds:datastoreItem>
</file>

<file path=customXml/itemProps3.xml><?xml version="1.0" encoding="utf-8"?>
<ds:datastoreItem xmlns:ds="http://schemas.openxmlformats.org/officeDocument/2006/customXml" ds:itemID="{8FC64754-FC6F-4A0C-A092-68A7D0DAA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6A8F5-8FA0-458F-A87B-C68A44DA27D5}">
  <ds:schemaRef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 ds:uri="eb1163ee-0472-4b21-9845-77639109b86b"/>
    <ds:schemaRef ds:uri="7407a200-7ce4-42fa-8e67-2f4335de98c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391</TotalTime>
  <Pages>54</Pages>
  <Words>17750</Words>
  <Characters>101178</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Alker, Craig</cp:lastModifiedBy>
  <cp:revision>26</cp:revision>
  <cp:lastPrinted>2020-06-11T21:17:00Z</cp:lastPrinted>
  <dcterms:created xsi:type="dcterms:W3CDTF">2022-05-25T15:43:00Z</dcterms:created>
  <dcterms:modified xsi:type="dcterms:W3CDTF">2022-05-30T07:33:00Z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y fmtid="{D5CDD505-2E9C-101B-9397-08002B2CF9AE}" pid="3" name="_DocHome">
    <vt:i4>138681430</vt:i4>
  </property>
</Properties>
</file>